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F421" w14:textId="77777777" w:rsidR="00342894" w:rsidRPr="009B5B67" w:rsidRDefault="00342894">
      <w:pPr>
        <w:rPr>
          <w:lang w:val="en-GB"/>
        </w:rPr>
      </w:pPr>
    </w:p>
    <w:p w14:paraId="528D978A" w14:textId="77777777" w:rsidR="00FE0D33" w:rsidRPr="009B5B67" w:rsidRDefault="00FE0D33">
      <w:pPr>
        <w:rPr>
          <w:lang w:val="en-GB"/>
        </w:rPr>
      </w:pPr>
    </w:p>
    <w:p w14:paraId="1CFB6539" w14:textId="77777777" w:rsidR="00FE0D33" w:rsidRPr="009B5B67" w:rsidRDefault="00FE0D3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FE0D33" w:rsidRPr="009B5B67" w14:paraId="68DE67EC" w14:textId="77777777" w:rsidTr="00FE0D33">
        <w:trPr>
          <w:trHeight w:val="1799"/>
        </w:trPr>
        <w:tc>
          <w:tcPr>
            <w:tcW w:w="3018" w:type="dxa"/>
            <w:vAlign w:val="center"/>
          </w:tcPr>
          <w:p w14:paraId="7366F83F" w14:textId="77777777" w:rsidR="00FE0D33" w:rsidRPr="009B5B67" w:rsidRDefault="00FE0D33" w:rsidP="00FE0D33">
            <w:pPr>
              <w:jc w:val="center"/>
              <w:rPr>
                <w:lang w:val="en-GB"/>
              </w:rPr>
            </w:pPr>
            <w:r w:rsidRPr="009B5B67">
              <w:rPr>
                <w:noProof/>
                <w:lang w:eastAsia="de-AT"/>
              </w:rPr>
              <w:drawing>
                <wp:inline distT="0" distB="0" distL="0" distR="0" wp14:anchorId="6B084F05" wp14:editId="38CC6156">
                  <wp:extent cx="838200" cy="99422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r="81522"/>
                          <a:stretch/>
                        </pic:blipFill>
                        <pic:spPr bwMode="auto">
                          <a:xfrm>
                            <a:off x="0" y="0"/>
                            <a:ext cx="884067" cy="1048632"/>
                          </a:xfrm>
                          <a:prstGeom prst="rect">
                            <a:avLst/>
                          </a:prstGeom>
                          <a:ln>
                            <a:noFill/>
                          </a:ln>
                          <a:extLst>
                            <a:ext uri="{53640926-AAD7-44D8-BBD7-CCE9431645EC}">
                              <a14:shadowObscured xmlns:a14="http://schemas.microsoft.com/office/drawing/2010/main"/>
                            </a:ext>
                          </a:extLst>
                        </pic:spPr>
                      </pic:pic>
                    </a:graphicData>
                  </a:graphic>
                </wp:inline>
              </w:drawing>
            </w:r>
          </w:p>
        </w:tc>
        <w:tc>
          <w:tcPr>
            <w:tcW w:w="3019" w:type="dxa"/>
            <w:vAlign w:val="center"/>
          </w:tcPr>
          <w:p w14:paraId="504E8019" w14:textId="77777777" w:rsidR="00FE0D33" w:rsidRPr="009B5B67" w:rsidRDefault="00FE0D33" w:rsidP="00FE0D33">
            <w:pPr>
              <w:jc w:val="center"/>
              <w:rPr>
                <w:lang w:val="en-GB"/>
              </w:rPr>
            </w:pPr>
            <w:r w:rsidRPr="009B5B67">
              <w:rPr>
                <w:noProof/>
                <w:lang w:eastAsia="de-AT"/>
              </w:rPr>
              <w:drawing>
                <wp:inline distT="0" distB="0" distL="0" distR="0" wp14:anchorId="13BEF716" wp14:editId="2019CE7A">
                  <wp:extent cx="1190219" cy="1295400"/>
                  <wp:effectExtent l="0" t="0" r="0" b="0"/>
                  <wp:docPr id="5" name="Grafik 5"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1228815" cy="1337407"/>
                          </a:xfrm>
                          <a:prstGeom prst="rect">
                            <a:avLst/>
                          </a:prstGeom>
                          <a:ln w="2903" cap="flat">
                            <a:noFill/>
                            <a:prstDash val="solid"/>
                            <a:miter/>
                          </a:ln>
                        </pic:spPr>
                      </pic:pic>
                    </a:graphicData>
                  </a:graphic>
                </wp:inline>
              </w:drawing>
            </w:r>
          </w:p>
        </w:tc>
        <w:tc>
          <w:tcPr>
            <w:tcW w:w="3019" w:type="dxa"/>
            <w:vAlign w:val="center"/>
          </w:tcPr>
          <w:p w14:paraId="6E95189E" w14:textId="77777777" w:rsidR="00FE0D33" w:rsidRPr="009B5B67" w:rsidRDefault="00FE0D33" w:rsidP="00FE0D33">
            <w:pPr>
              <w:jc w:val="center"/>
              <w:rPr>
                <w:lang w:val="en-GB"/>
              </w:rPr>
            </w:pPr>
            <w:r w:rsidRPr="009B5B67">
              <w:rPr>
                <w:noProof/>
                <w:lang w:eastAsia="de-AT"/>
              </w:rPr>
              <w:drawing>
                <wp:inline distT="0" distB="0" distL="0" distR="0" wp14:anchorId="1912DCBD" wp14:editId="03AAFDE7">
                  <wp:extent cx="523875" cy="107156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60622" cy="1146730"/>
                          </a:xfrm>
                          <a:prstGeom prst="rect">
                            <a:avLst/>
                          </a:prstGeom>
                        </pic:spPr>
                      </pic:pic>
                    </a:graphicData>
                  </a:graphic>
                </wp:inline>
              </w:drawing>
            </w:r>
          </w:p>
        </w:tc>
      </w:tr>
      <w:tr w:rsidR="0073061D" w:rsidRPr="009B5B67" w14:paraId="7D18EC44" w14:textId="77777777" w:rsidTr="0073061D">
        <w:trPr>
          <w:trHeight w:val="1799"/>
        </w:trPr>
        <w:tc>
          <w:tcPr>
            <w:tcW w:w="9056" w:type="dxa"/>
            <w:gridSpan w:val="3"/>
            <w:vAlign w:val="center"/>
          </w:tcPr>
          <w:p w14:paraId="3745B2C2" w14:textId="77777777" w:rsidR="0073061D" w:rsidRPr="009B5B67" w:rsidRDefault="0073061D" w:rsidP="0073061D">
            <w:pPr>
              <w:jc w:val="center"/>
              <w:rPr>
                <w:noProof/>
                <w:lang w:val="en-GB"/>
              </w:rPr>
            </w:pPr>
            <w:r w:rsidRPr="009B5B67">
              <w:rPr>
                <w:noProof/>
                <w:lang w:eastAsia="de-AT"/>
              </w:rPr>
              <w:drawing>
                <wp:inline distT="0" distB="0" distL="0" distR="0" wp14:anchorId="51DB4615" wp14:editId="641C7230">
                  <wp:extent cx="3279381" cy="293778"/>
                  <wp:effectExtent l="0" t="0" r="0" b="0"/>
                  <wp:docPr id="4" name="Grafik 4" descr="Umweltbundesamt_RGB_TL-links_eng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mweltbundesamt_RGB_TL-links_engl.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7012" cy="313274"/>
                          </a:xfrm>
                          <a:prstGeom prst="rect">
                            <a:avLst/>
                          </a:prstGeom>
                          <a:noFill/>
                          <a:ln>
                            <a:noFill/>
                          </a:ln>
                        </pic:spPr>
                      </pic:pic>
                    </a:graphicData>
                  </a:graphic>
                </wp:inline>
              </w:drawing>
            </w:r>
          </w:p>
          <w:p w14:paraId="07E79725" w14:textId="77777777" w:rsidR="00D81167" w:rsidRPr="009B5B67" w:rsidRDefault="00D81167" w:rsidP="0073061D">
            <w:pPr>
              <w:jc w:val="center"/>
              <w:rPr>
                <w:noProof/>
                <w:lang w:val="en-GB"/>
              </w:rPr>
            </w:pPr>
          </w:p>
          <w:p w14:paraId="5A9E11AC" w14:textId="77777777" w:rsidR="00D81167" w:rsidRPr="009B5B67" w:rsidRDefault="00D81167" w:rsidP="0073061D">
            <w:pPr>
              <w:jc w:val="center"/>
              <w:rPr>
                <w:noProof/>
                <w:lang w:val="en-GB"/>
              </w:rPr>
            </w:pPr>
            <w:r w:rsidRPr="009B5B67">
              <w:rPr>
                <w:noProof/>
                <w:lang w:eastAsia="de-AT"/>
              </w:rPr>
              <w:drawing>
                <wp:inline distT="0" distB="0" distL="0" distR="0" wp14:anchorId="32557E1F" wp14:editId="14D42735">
                  <wp:extent cx="1940962" cy="804672"/>
                  <wp:effectExtent l="0" t="0" r="0" b="0"/>
                  <wp:docPr id="1" name="Bild 3" descr="Logo: B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M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5729" cy="814940"/>
                          </a:xfrm>
                          <a:prstGeom prst="rect">
                            <a:avLst/>
                          </a:prstGeom>
                          <a:noFill/>
                          <a:ln>
                            <a:noFill/>
                          </a:ln>
                        </pic:spPr>
                      </pic:pic>
                    </a:graphicData>
                  </a:graphic>
                </wp:inline>
              </w:drawing>
            </w:r>
          </w:p>
        </w:tc>
      </w:tr>
    </w:tbl>
    <w:p w14:paraId="402CE56A" w14:textId="77777777" w:rsidR="00FE0D33" w:rsidRPr="009B5B67" w:rsidRDefault="00FE0D33">
      <w:pPr>
        <w:rPr>
          <w:lang w:val="en-GB"/>
        </w:rPr>
      </w:pPr>
    </w:p>
    <w:p w14:paraId="1569DEF7" w14:textId="77777777" w:rsidR="0073061D" w:rsidRPr="009B5B67" w:rsidRDefault="0073061D">
      <w:pPr>
        <w:rPr>
          <w:lang w:val="en-GB"/>
        </w:rPr>
      </w:pPr>
    </w:p>
    <w:p w14:paraId="199B59D6" w14:textId="77777777" w:rsidR="0073061D" w:rsidRPr="009B5B67" w:rsidRDefault="0073061D">
      <w:pPr>
        <w:rPr>
          <w:lang w:val="en-GB"/>
        </w:rPr>
      </w:pPr>
    </w:p>
    <w:p w14:paraId="77D231BE" w14:textId="77777777" w:rsidR="0073061D" w:rsidRPr="009B5B67" w:rsidRDefault="0073061D" w:rsidP="00742051">
      <w:pPr>
        <w:spacing w:line="276" w:lineRule="auto"/>
        <w:jc w:val="center"/>
        <w:rPr>
          <w:rFonts w:ascii="Arial Black" w:hAnsi="Arial Black"/>
          <w:b/>
          <w:bCs/>
          <w:sz w:val="44"/>
          <w:szCs w:val="44"/>
          <w:lang w:val="en-GB"/>
        </w:rPr>
      </w:pPr>
      <w:r w:rsidRPr="009B5B67">
        <w:rPr>
          <w:rFonts w:ascii="Arial Black" w:hAnsi="Arial Black"/>
          <w:b/>
          <w:bCs/>
          <w:sz w:val="44"/>
          <w:szCs w:val="44"/>
          <w:lang w:val="en-GB"/>
        </w:rPr>
        <w:t>Development of Climate Change Monitoring, Reporting and Verification (MRV) System</w:t>
      </w:r>
    </w:p>
    <w:p w14:paraId="55CB3F68" w14:textId="77777777" w:rsidR="0073061D" w:rsidRPr="009B5B67" w:rsidRDefault="0073061D" w:rsidP="0073061D">
      <w:pPr>
        <w:jc w:val="center"/>
        <w:rPr>
          <w:rFonts w:cs="Arial"/>
          <w:sz w:val="44"/>
          <w:szCs w:val="44"/>
          <w:lang w:val="en-GB"/>
        </w:rPr>
      </w:pPr>
      <w:r w:rsidRPr="009B5B67">
        <w:rPr>
          <w:rFonts w:cs="Arial"/>
          <w:sz w:val="44"/>
          <w:szCs w:val="44"/>
          <w:lang w:val="en-GB"/>
        </w:rPr>
        <w:t>RFP 635</w:t>
      </w:r>
    </w:p>
    <w:p w14:paraId="714C5C82" w14:textId="77777777" w:rsidR="008934CE" w:rsidRPr="009B5B67" w:rsidRDefault="008934CE" w:rsidP="0073061D">
      <w:pPr>
        <w:jc w:val="center"/>
        <w:rPr>
          <w:rFonts w:cs="Arial"/>
          <w:b/>
          <w:sz w:val="44"/>
          <w:szCs w:val="44"/>
          <w:lang w:val="en-GB"/>
        </w:rPr>
      </w:pPr>
    </w:p>
    <w:p w14:paraId="1985DE5D" w14:textId="77777777" w:rsidR="0073061D" w:rsidRPr="009B5B67" w:rsidRDefault="008934CE" w:rsidP="0073061D">
      <w:pPr>
        <w:jc w:val="center"/>
        <w:rPr>
          <w:rFonts w:cs="Arial"/>
          <w:b/>
          <w:sz w:val="44"/>
          <w:szCs w:val="44"/>
          <w:lang w:val="en-GB"/>
        </w:rPr>
      </w:pPr>
      <w:r w:rsidRPr="009B5B67">
        <w:rPr>
          <w:rFonts w:cs="Arial"/>
          <w:b/>
          <w:sz w:val="44"/>
          <w:szCs w:val="44"/>
          <w:lang w:val="en-GB"/>
        </w:rPr>
        <w:t xml:space="preserve">DELIVERABLE </w:t>
      </w:r>
      <w:r w:rsidR="00341905" w:rsidRPr="009B5B67">
        <w:rPr>
          <w:rFonts w:cs="Arial"/>
          <w:b/>
          <w:sz w:val="44"/>
          <w:szCs w:val="44"/>
          <w:lang w:val="en-GB"/>
        </w:rPr>
        <w:t>2</w:t>
      </w:r>
      <w:r w:rsidR="00F0659D" w:rsidRPr="009B5B67">
        <w:rPr>
          <w:rFonts w:cs="Arial"/>
          <w:b/>
          <w:sz w:val="44"/>
          <w:szCs w:val="44"/>
          <w:lang w:val="en-GB"/>
        </w:rPr>
        <w:t>:</w:t>
      </w:r>
    </w:p>
    <w:p w14:paraId="3FB0686E" w14:textId="77777777" w:rsidR="0073061D" w:rsidRPr="009B5B67" w:rsidRDefault="00AD5E7C" w:rsidP="0073061D">
      <w:pPr>
        <w:jc w:val="center"/>
        <w:rPr>
          <w:rFonts w:cs="Arial"/>
          <w:sz w:val="44"/>
          <w:szCs w:val="44"/>
          <w:lang w:val="en-GB"/>
        </w:rPr>
      </w:pPr>
      <w:r w:rsidRPr="009B5B67">
        <w:rPr>
          <w:rFonts w:cs="Arial"/>
          <w:sz w:val="44"/>
          <w:szCs w:val="44"/>
          <w:lang w:val="en-GB"/>
        </w:rPr>
        <w:t>Comprehensive document of revised NDCs for the Republic of Serbia</w:t>
      </w:r>
    </w:p>
    <w:p w14:paraId="6DA32B36" w14:textId="77777777" w:rsidR="0073061D" w:rsidRPr="009B5B67" w:rsidRDefault="0073061D">
      <w:pPr>
        <w:rPr>
          <w:lang w:val="en-GB"/>
        </w:rPr>
      </w:pPr>
    </w:p>
    <w:p w14:paraId="27BD9BFF" w14:textId="77777777" w:rsidR="00FE0D33" w:rsidRPr="009B5B67" w:rsidRDefault="00FE0D33">
      <w:pPr>
        <w:rPr>
          <w:lang w:val="en-GB"/>
        </w:rPr>
      </w:pPr>
    </w:p>
    <w:p w14:paraId="63FAECC5" w14:textId="4CBD7B1F" w:rsidR="003B1FDF" w:rsidRPr="009B5B67" w:rsidRDefault="00080666">
      <w:pPr>
        <w:rPr>
          <w:rFonts w:cs="Arial"/>
          <w:sz w:val="22"/>
          <w:szCs w:val="22"/>
          <w:lang w:val="en-GB"/>
        </w:rPr>
      </w:pPr>
      <w:r>
        <w:rPr>
          <w:rFonts w:cs="Arial"/>
          <w:sz w:val="22"/>
          <w:szCs w:val="22"/>
          <w:lang w:val="en-GB"/>
        </w:rPr>
        <w:t>December 20</w:t>
      </w:r>
      <w:r w:rsidR="008934CE" w:rsidRPr="009B5B67">
        <w:rPr>
          <w:rFonts w:cs="Arial"/>
          <w:sz w:val="22"/>
          <w:szCs w:val="22"/>
          <w:vertAlign w:val="superscript"/>
          <w:lang w:val="en-GB"/>
        </w:rPr>
        <w:t>th</w:t>
      </w:r>
      <w:r w:rsidR="008934CE" w:rsidRPr="009B5B67">
        <w:rPr>
          <w:rFonts w:cs="Arial"/>
          <w:sz w:val="22"/>
          <w:szCs w:val="22"/>
          <w:lang w:val="en-GB"/>
        </w:rPr>
        <w:t>, 2020</w:t>
      </w:r>
    </w:p>
    <w:p w14:paraId="2C5A1F01" w14:textId="77777777" w:rsidR="00565782" w:rsidRPr="009B5B67" w:rsidRDefault="00742051" w:rsidP="000F199D">
      <w:pPr>
        <w:rPr>
          <w:b/>
          <w:color w:val="2F5496" w:themeColor="accent1" w:themeShade="BF"/>
          <w:sz w:val="32"/>
          <w:lang w:val="en-GB"/>
        </w:rPr>
      </w:pPr>
      <w:bookmarkStart w:id="0" w:name="_Toc56411142"/>
      <w:r w:rsidRPr="009B5B67">
        <w:rPr>
          <w:b/>
          <w:color w:val="2F5496" w:themeColor="accent1" w:themeShade="BF"/>
          <w:sz w:val="32"/>
          <w:lang w:val="en-GB"/>
        </w:rPr>
        <w:lastRenderedPageBreak/>
        <w:t>Index</w:t>
      </w:r>
      <w:bookmarkEnd w:id="0"/>
    </w:p>
    <w:p w14:paraId="18643040" w14:textId="30A8A562" w:rsidR="008C53C1" w:rsidRPr="009B5B67" w:rsidRDefault="000F199D">
      <w:pPr>
        <w:pStyle w:val="TOC1"/>
        <w:rPr>
          <w:rFonts w:eastAsiaTheme="minorEastAsia" w:cstheme="minorBidi"/>
          <w:b w:val="0"/>
          <w:bCs w:val="0"/>
          <w:caps w:val="0"/>
          <w:noProof/>
          <w:u w:val="none"/>
          <w:lang w:val="en-GB" w:eastAsia="de-AT"/>
        </w:rPr>
      </w:pPr>
      <w:r w:rsidRPr="009B5B67">
        <w:rPr>
          <w:lang w:val="en-GB"/>
        </w:rPr>
        <w:fldChar w:fldCharType="begin"/>
      </w:r>
      <w:r w:rsidRPr="009B5B67">
        <w:rPr>
          <w:lang w:val="en-GB"/>
        </w:rPr>
        <w:instrText xml:space="preserve"> TOC \o "1-3" \h \z \u </w:instrText>
      </w:r>
      <w:r w:rsidRPr="009B5B67">
        <w:rPr>
          <w:lang w:val="en-GB"/>
        </w:rPr>
        <w:fldChar w:fldCharType="separate"/>
      </w:r>
      <w:hyperlink w:anchor="_Toc56439375" w:history="1">
        <w:r w:rsidR="008C53C1" w:rsidRPr="009B5B67">
          <w:rPr>
            <w:rStyle w:val="Hyperlink"/>
            <w:noProof/>
            <w:lang w:val="en-GB"/>
          </w:rPr>
          <w:t>Further information necessary for clarity, transparency and understanding (ICTU) of the Nationally Determined Contribution (NDC)</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_Toc56439375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5</w:t>
        </w:r>
        <w:r w:rsidR="008C53C1" w:rsidRPr="009B5B67">
          <w:rPr>
            <w:noProof/>
            <w:webHidden/>
            <w:lang w:val="en-GB"/>
          </w:rPr>
          <w:fldChar w:fldCharType="end"/>
        </w:r>
      </w:hyperlink>
    </w:p>
    <w:p w14:paraId="569BB448" w14:textId="16438A0E" w:rsidR="008C53C1" w:rsidRPr="009B5B67" w:rsidRDefault="00CD6DA4">
      <w:pPr>
        <w:pStyle w:val="TOC1"/>
        <w:rPr>
          <w:rFonts w:eastAsiaTheme="minorEastAsia" w:cstheme="minorBidi"/>
          <w:b w:val="0"/>
          <w:bCs w:val="0"/>
          <w:caps w:val="0"/>
          <w:noProof/>
          <w:u w:val="none"/>
          <w:lang w:val="en-GB" w:eastAsia="de-AT"/>
        </w:rPr>
      </w:pPr>
      <w:hyperlink w:anchor="_Toc56439376" w:history="1">
        <w:r w:rsidR="008C53C1" w:rsidRPr="009B5B67">
          <w:rPr>
            <w:rStyle w:val="Hyperlink"/>
            <w:noProof/>
            <w:lang w:val="en-GB" w:eastAsia="sr-Latn-RS"/>
          </w:rPr>
          <w:t>Annex 1 - Key sectors and Greenhouse gas Emissions</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_Toc56439376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21</w:t>
        </w:r>
        <w:r w:rsidR="008C53C1" w:rsidRPr="009B5B67">
          <w:rPr>
            <w:noProof/>
            <w:webHidden/>
            <w:lang w:val="en-GB"/>
          </w:rPr>
          <w:fldChar w:fldCharType="end"/>
        </w:r>
      </w:hyperlink>
    </w:p>
    <w:p w14:paraId="2E600E5E" w14:textId="3FE3523F" w:rsidR="008C53C1" w:rsidRPr="009B5B67" w:rsidRDefault="00CD6DA4">
      <w:pPr>
        <w:pStyle w:val="TOC2"/>
        <w:tabs>
          <w:tab w:val="left" w:pos="502"/>
          <w:tab w:val="right" w:pos="9054"/>
        </w:tabs>
        <w:rPr>
          <w:rFonts w:eastAsiaTheme="minorEastAsia" w:cstheme="minorBidi"/>
          <w:b w:val="0"/>
          <w:bCs w:val="0"/>
          <w:smallCaps w:val="0"/>
          <w:noProof/>
          <w:lang w:val="en-GB" w:eastAsia="de-AT"/>
        </w:rPr>
      </w:pPr>
      <w:hyperlink w:anchor="_Toc56439377" w:history="1">
        <w:r w:rsidR="008C53C1" w:rsidRPr="009B5B67">
          <w:rPr>
            <w:rStyle w:val="Hyperlink"/>
            <w:noProof/>
            <w:lang w:val="en-GB"/>
          </w:rPr>
          <w:t>3.1</w:t>
        </w:r>
        <w:r w:rsidR="008C53C1" w:rsidRPr="009B5B67">
          <w:rPr>
            <w:rFonts w:eastAsiaTheme="minorEastAsia" w:cstheme="minorBidi"/>
            <w:b w:val="0"/>
            <w:bCs w:val="0"/>
            <w:smallCaps w:val="0"/>
            <w:noProof/>
            <w:lang w:val="en-GB" w:eastAsia="de-AT"/>
          </w:rPr>
          <w:tab/>
        </w:r>
        <w:r w:rsidR="008C53C1" w:rsidRPr="009B5B67">
          <w:rPr>
            <w:rStyle w:val="Hyperlink"/>
            <w:noProof/>
            <w:lang w:val="en-GB"/>
          </w:rPr>
          <w:t>Overview of GHG inventory in the period 1990-2015</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_Toc56439377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21</w:t>
        </w:r>
        <w:r w:rsidR="008C53C1" w:rsidRPr="009B5B67">
          <w:rPr>
            <w:noProof/>
            <w:webHidden/>
            <w:lang w:val="en-GB"/>
          </w:rPr>
          <w:fldChar w:fldCharType="end"/>
        </w:r>
      </w:hyperlink>
    </w:p>
    <w:p w14:paraId="3613E851" w14:textId="49E26F5B" w:rsidR="008C53C1" w:rsidRPr="009B5B67" w:rsidRDefault="00CD6DA4">
      <w:pPr>
        <w:pStyle w:val="TOC1"/>
        <w:rPr>
          <w:rFonts w:eastAsiaTheme="minorEastAsia" w:cstheme="minorBidi"/>
          <w:b w:val="0"/>
          <w:bCs w:val="0"/>
          <w:caps w:val="0"/>
          <w:noProof/>
          <w:u w:val="none"/>
          <w:lang w:val="en-GB" w:eastAsia="de-AT"/>
        </w:rPr>
      </w:pPr>
      <w:hyperlink w:anchor="_Toc56439378" w:history="1">
        <w:r w:rsidR="008C53C1" w:rsidRPr="009B5B67">
          <w:rPr>
            <w:rStyle w:val="Hyperlink"/>
            <w:noProof/>
            <w:lang w:val="en-GB" w:eastAsia="sr-Latn-RS"/>
          </w:rPr>
          <w:t>Annex 2 - Adaptation</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_Toc56439378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24</w:t>
        </w:r>
        <w:r w:rsidR="008C53C1" w:rsidRPr="009B5B67">
          <w:rPr>
            <w:noProof/>
            <w:webHidden/>
            <w:lang w:val="en-GB"/>
          </w:rPr>
          <w:fldChar w:fldCharType="end"/>
        </w:r>
      </w:hyperlink>
    </w:p>
    <w:p w14:paraId="34C43FCC" w14:textId="5DED8F7D" w:rsidR="008C53C1" w:rsidRPr="009B5B67" w:rsidRDefault="00CD6DA4">
      <w:pPr>
        <w:pStyle w:val="TOC2"/>
        <w:tabs>
          <w:tab w:val="left" w:pos="502"/>
          <w:tab w:val="right" w:pos="9054"/>
        </w:tabs>
        <w:rPr>
          <w:rFonts w:eastAsiaTheme="minorEastAsia" w:cstheme="minorBidi"/>
          <w:b w:val="0"/>
          <w:bCs w:val="0"/>
          <w:smallCaps w:val="0"/>
          <w:noProof/>
          <w:lang w:val="en-GB" w:eastAsia="de-AT"/>
        </w:rPr>
      </w:pPr>
      <w:hyperlink w:anchor="_Toc56439379" w:history="1">
        <w:r w:rsidR="008C53C1" w:rsidRPr="009B5B67">
          <w:rPr>
            <w:rStyle w:val="Hyperlink"/>
            <w:noProof/>
            <w:lang w:val="en-GB"/>
          </w:rPr>
          <w:t>3.2</w:t>
        </w:r>
        <w:r w:rsidR="008C53C1" w:rsidRPr="009B5B67">
          <w:rPr>
            <w:rFonts w:eastAsiaTheme="minorEastAsia" w:cstheme="minorBidi"/>
            <w:b w:val="0"/>
            <w:bCs w:val="0"/>
            <w:smallCaps w:val="0"/>
            <w:noProof/>
            <w:lang w:val="en-GB" w:eastAsia="de-AT"/>
          </w:rPr>
          <w:tab/>
        </w:r>
        <w:r w:rsidR="008C53C1" w:rsidRPr="009B5B67">
          <w:rPr>
            <w:rStyle w:val="Hyperlink"/>
            <w:noProof/>
            <w:lang w:val="en-GB"/>
          </w:rPr>
          <w:t>STRATEGIC AND LEGISLATIVE FRAMEWORK</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_Toc56439379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24</w:t>
        </w:r>
        <w:r w:rsidR="008C53C1" w:rsidRPr="009B5B67">
          <w:rPr>
            <w:noProof/>
            <w:webHidden/>
            <w:lang w:val="en-GB"/>
          </w:rPr>
          <w:fldChar w:fldCharType="end"/>
        </w:r>
      </w:hyperlink>
    </w:p>
    <w:p w14:paraId="67D03CD0" w14:textId="0CDB4F51" w:rsidR="008C53C1" w:rsidRPr="009B5B67" w:rsidRDefault="00CD6DA4">
      <w:pPr>
        <w:pStyle w:val="TOC2"/>
        <w:tabs>
          <w:tab w:val="left" w:pos="502"/>
          <w:tab w:val="right" w:pos="9054"/>
        </w:tabs>
        <w:rPr>
          <w:rFonts w:eastAsiaTheme="minorEastAsia" w:cstheme="minorBidi"/>
          <w:b w:val="0"/>
          <w:bCs w:val="0"/>
          <w:smallCaps w:val="0"/>
          <w:noProof/>
          <w:lang w:val="en-GB" w:eastAsia="de-AT"/>
        </w:rPr>
      </w:pPr>
      <w:hyperlink w:anchor="_Toc56439380" w:history="1">
        <w:r w:rsidR="008C53C1" w:rsidRPr="009B5B67">
          <w:rPr>
            <w:rStyle w:val="Hyperlink"/>
            <w:noProof/>
            <w:lang w:val="en-GB"/>
          </w:rPr>
          <w:t>3.3</w:t>
        </w:r>
        <w:r w:rsidR="008C53C1" w:rsidRPr="009B5B67">
          <w:rPr>
            <w:rFonts w:eastAsiaTheme="minorEastAsia" w:cstheme="minorBidi"/>
            <w:b w:val="0"/>
            <w:bCs w:val="0"/>
            <w:smallCaps w:val="0"/>
            <w:noProof/>
            <w:lang w:val="en-GB" w:eastAsia="de-AT"/>
          </w:rPr>
          <w:tab/>
        </w:r>
        <w:r w:rsidR="008C53C1" w:rsidRPr="009B5B67">
          <w:rPr>
            <w:rStyle w:val="Hyperlink"/>
            <w:noProof/>
            <w:lang w:val="en-GB"/>
          </w:rPr>
          <w:t>OBSERVED AND PROJECTED CLIMATE CHANGE AND EXTREME WEATHER EVENTS</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_Toc56439380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26</w:t>
        </w:r>
        <w:r w:rsidR="008C53C1" w:rsidRPr="009B5B67">
          <w:rPr>
            <w:noProof/>
            <w:webHidden/>
            <w:lang w:val="en-GB"/>
          </w:rPr>
          <w:fldChar w:fldCharType="end"/>
        </w:r>
      </w:hyperlink>
    </w:p>
    <w:p w14:paraId="3AB9F13F" w14:textId="34650378" w:rsidR="008C53C1" w:rsidRPr="009B5B67" w:rsidRDefault="00CD6DA4">
      <w:pPr>
        <w:pStyle w:val="TOC2"/>
        <w:tabs>
          <w:tab w:val="left" w:pos="502"/>
          <w:tab w:val="right" w:pos="9054"/>
        </w:tabs>
        <w:rPr>
          <w:rFonts w:eastAsiaTheme="minorEastAsia" w:cstheme="minorBidi"/>
          <w:b w:val="0"/>
          <w:bCs w:val="0"/>
          <w:smallCaps w:val="0"/>
          <w:noProof/>
          <w:lang w:val="en-GB" w:eastAsia="de-AT"/>
        </w:rPr>
      </w:pPr>
      <w:hyperlink w:anchor="_Toc56439381" w:history="1">
        <w:r w:rsidR="008C53C1" w:rsidRPr="009B5B67">
          <w:rPr>
            <w:rStyle w:val="Hyperlink"/>
            <w:noProof/>
            <w:lang w:val="en-GB"/>
          </w:rPr>
          <w:t>3.4</w:t>
        </w:r>
        <w:r w:rsidR="008C53C1" w:rsidRPr="009B5B67">
          <w:rPr>
            <w:rFonts w:eastAsiaTheme="minorEastAsia" w:cstheme="minorBidi"/>
            <w:b w:val="0"/>
            <w:bCs w:val="0"/>
            <w:smallCaps w:val="0"/>
            <w:noProof/>
            <w:lang w:val="en-GB" w:eastAsia="de-AT"/>
          </w:rPr>
          <w:tab/>
        </w:r>
        <w:r w:rsidR="008C53C1" w:rsidRPr="009B5B67">
          <w:rPr>
            <w:rStyle w:val="Hyperlink"/>
            <w:noProof/>
            <w:lang w:val="en-GB"/>
          </w:rPr>
          <w:t>SECTORIAL ASSESSMENT OF CLIMATE CHANGE IMPACTS AND PROPOSED ADAPTATION MEASURES</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_Toc56439381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27</w:t>
        </w:r>
        <w:r w:rsidR="008C53C1" w:rsidRPr="009B5B67">
          <w:rPr>
            <w:noProof/>
            <w:webHidden/>
            <w:lang w:val="en-GB"/>
          </w:rPr>
          <w:fldChar w:fldCharType="end"/>
        </w:r>
      </w:hyperlink>
    </w:p>
    <w:p w14:paraId="0A68D721" w14:textId="6E8D780F" w:rsidR="008C53C1" w:rsidRPr="009B5B67" w:rsidRDefault="00CD6DA4">
      <w:pPr>
        <w:pStyle w:val="TOC3"/>
        <w:tabs>
          <w:tab w:val="left" w:pos="666"/>
          <w:tab w:val="right" w:pos="9054"/>
        </w:tabs>
        <w:rPr>
          <w:rFonts w:eastAsiaTheme="minorEastAsia" w:cstheme="minorBidi"/>
          <w:smallCaps w:val="0"/>
          <w:noProof/>
          <w:lang w:val="en-GB" w:eastAsia="de-AT"/>
        </w:rPr>
      </w:pPr>
      <w:hyperlink w:anchor="_Toc56439382" w:history="1">
        <w:r w:rsidR="008C53C1" w:rsidRPr="009B5B67">
          <w:rPr>
            <w:rStyle w:val="Hyperlink"/>
            <w:rFonts w:cs="Times New Roman"/>
            <w:noProof/>
            <w:lang w:val="en-GB"/>
            <w14:scene3d>
              <w14:camera w14:prst="orthographicFront"/>
              <w14:lightRig w14:rig="threePt" w14:dir="t">
                <w14:rot w14:lat="0" w14:lon="0" w14:rev="0"/>
              </w14:lightRig>
            </w14:scene3d>
          </w:rPr>
          <w:t>2.4.1</w:t>
        </w:r>
        <w:r w:rsidR="008C53C1" w:rsidRPr="009B5B67">
          <w:rPr>
            <w:rFonts w:eastAsiaTheme="minorEastAsia" w:cstheme="minorBidi"/>
            <w:smallCaps w:val="0"/>
            <w:noProof/>
            <w:lang w:val="en-GB" w:eastAsia="de-AT"/>
          </w:rPr>
          <w:tab/>
        </w:r>
        <w:r w:rsidR="008C53C1" w:rsidRPr="009B5B67">
          <w:rPr>
            <w:rStyle w:val="Hyperlink"/>
            <w:noProof/>
            <w:lang w:val="en-GB"/>
          </w:rPr>
          <w:t>AGRICULTURE</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_Toc56439382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27</w:t>
        </w:r>
        <w:r w:rsidR="008C53C1" w:rsidRPr="009B5B67">
          <w:rPr>
            <w:noProof/>
            <w:webHidden/>
            <w:lang w:val="en-GB"/>
          </w:rPr>
          <w:fldChar w:fldCharType="end"/>
        </w:r>
      </w:hyperlink>
    </w:p>
    <w:p w14:paraId="7311CD46" w14:textId="26CBEE0A" w:rsidR="008C53C1" w:rsidRPr="009B5B67" w:rsidRDefault="00CD6DA4">
      <w:pPr>
        <w:pStyle w:val="TOC3"/>
        <w:tabs>
          <w:tab w:val="left" w:pos="666"/>
          <w:tab w:val="right" w:pos="9054"/>
        </w:tabs>
        <w:rPr>
          <w:rFonts w:eastAsiaTheme="minorEastAsia" w:cstheme="minorBidi"/>
          <w:smallCaps w:val="0"/>
          <w:noProof/>
          <w:lang w:val="en-GB" w:eastAsia="de-AT"/>
        </w:rPr>
      </w:pPr>
      <w:hyperlink w:anchor="_Toc56439383" w:history="1">
        <w:r w:rsidR="008C53C1" w:rsidRPr="009B5B67">
          <w:rPr>
            <w:rStyle w:val="Hyperlink"/>
            <w:rFonts w:cs="Times New Roman"/>
            <w:noProof/>
            <w:lang w:val="en-GB"/>
            <w14:scene3d>
              <w14:camera w14:prst="orthographicFront"/>
              <w14:lightRig w14:rig="threePt" w14:dir="t">
                <w14:rot w14:lat="0" w14:lon="0" w14:rev="0"/>
              </w14:lightRig>
            </w14:scene3d>
          </w:rPr>
          <w:t>2.4.2</w:t>
        </w:r>
        <w:r w:rsidR="008C53C1" w:rsidRPr="009B5B67">
          <w:rPr>
            <w:rFonts w:eastAsiaTheme="minorEastAsia" w:cstheme="minorBidi"/>
            <w:smallCaps w:val="0"/>
            <w:noProof/>
            <w:lang w:val="en-GB" w:eastAsia="de-AT"/>
          </w:rPr>
          <w:tab/>
        </w:r>
        <w:r w:rsidR="008C53C1" w:rsidRPr="009B5B67">
          <w:rPr>
            <w:rStyle w:val="Hyperlink"/>
            <w:noProof/>
            <w:lang w:val="en-GB"/>
          </w:rPr>
          <w:t>WATER MANAGEMENT</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_Toc56439383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28</w:t>
        </w:r>
        <w:r w:rsidR="008C53C1" w:rsidRPr="009B5B67">
          <w:rPr>
            <w:noProof/>
            <w:webHidden/>
            <w:lang w:val="en-GB"/>
          </w:rPr>
          <w:fldChar w:fldCharType="end"/>
        </w:r>
      </w:hyperlink>
    </w:p>
    <w:p w14:paraId="0CFCF0CB" w14:textId="7ED753B4" w:rsidR="008C53C1" w:rsidRPr="009B5B67" w:rsidRDefault="00CD6DA4">
      <w:pPr>
        <w:pStyle w:val="TOC3"/>
        <w:tabs>
          <w:tab w:val="left" w:pos="666"/>
          <w:tab w:val="right" w:pos="9054"/>
        </w:tabs>
        <w:rPr>
          <w:rFonts w:eastAsiaTheme="minorEastAsia" w:cstheme="minorBidi"/>
          <w:smallCaps w:val="0"/>
          <w:noProof/>
          <w:lang w:val="en-GB" w:eastAsia="de-AT"/>
        </w:rPr>
      </w:pPr>
      <w:hyperlink w:anchor="_Toc56439384" w:history="1">
        <w:r w:rsidR="008C53C1" w:rsidRPr="009B5B67">
          <w:rPr>
            <w:rStyle w:val="Hyperlink"/>
            <w:rFonts w:cs="Times New Roman"/>
            <w:noProof/>
            <w:lang w:val="en-GB"/>
            <w14:scene3d>
              <w14:camera w14:prst="orthographicFront"/>
              <w14:lightRig w14:rig="threePt" w14:dir="t">
                <w14:rot w14:lat="0" w14:lon="0" w14:rev="0"/>
              </w14:lightRig>
            </w14:scene3d>
          </w:rPr>
          <w:t>2.4.3</w:t>
        </w:r>
        <w:r w:rsidR="008C53C1" w:rsidRPr="009B5B67">
          <w:rPr>
            <w:rFonts w:eastAsiaTheme="minorEastAsia" w:cstheme="minorBidi"/>
            <w:smallCaps w:val="0"/>
            <w:noProof/>
            <w:lang w:val="en-GB" w:eastAsia="de-AT"/>
          </w:rPr>
          <w:tab/>
        </w:r>
        <w:r w:rsidR="008C53C1" w:rsidRPr="009B5B67">
          <w:rPr>
            <w:rStyle w:val="Hyperlink"/>
            <w:noProof/>
            <w:lang w:val="en-GB"/>
          </w:rPr>
          <w:t>FORESTRY</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_Toc56439384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30</w:t>
        </w:r>
        <w:r w:rsidR="008C53C1" w:rsidRPr="009B5B67">
          <w:rPr>
            <w:noProof/>
            <w:webHidden/>
            <w:lang w:val="en-GB"/>
          </w:rPr>
          <w:fldChar w:fldCharType="end"/>
        </w:r>
      </w:hyperlink>
    </w:p>
    <w:p w14:paraId="5EAE40AF" w14:textId="3C993903" w:rsidR="008C53C1" w:rsidRPr="009B5B67" w:rsidRDefault="00CD6DA4">
      <w:pPr>
        <w:pStyle w:val="TOC3"/>
        <w:tabs>
          <w:tab w:val="left" w:pos="666"/>
          <w:tab w:val="right" w:pos="9054"/>
        </w:tabs>
        <w:rPr>
          <w:rFonts w:eastAsiaTheme="minorEastAsia" w:cstheme="minorBidi"/>
          <w:smallCaps w:val="0"/>
          <w:noProof/>
          <w:lang w:val="en-GB" w:eastAsia="de-AT"/>
        </w:rPr>
      </w:pPr>
      <w:hyperlink w:anchor="_Toc56439385" w:history="1">
        <w:r w:rsidR="008C53C1" w:rsidRPr="009B5B67">
          <w:rPr>
            <w:rStyle w:val="Hyperlink"/>
            <w:rFonts w:cs="Times New Roman"/>
            <w:noProof/>
            <w:lang w:val="en-GB"/>
            <w14:scene3d>
              <w14:camera w14:prst="orthographicFront"/>
              <w14:lightRig w14:rig="threePt" w14:dir="t">
                <w14:rot w14:lat="0" w14:lon="0" w14:rev="0"/>
              </w14:lightRig>
            </w14:scene3d>
          </w:rPr>
          <w:t>2.4.4</w:t>
        </w:r>
        <w:r w:rsidR="008C53C1" w:rsidRPr="009B5B67">
          <w:rPr>
            <w:rFonts w:eastAsiaTheme="minorEastAsia" w:cstheme="minorBidi"/>
            <w:smallCaps w:val="0"/>
            <w:noProof/>
            <w:lang w:val="en-GB" w:eastAsia="de-AT"/>
          </w:rPr>
          <w:tab/>
        </w:r>
        <w:r w:rsidR="008C53C1" w:rsidRPr="009B5B67">
          <w:rPr>
            <w:rStyle w:val="Hyperlink"/>
            <w:noProof/>
            <w:lang w:val="en-GB"/>
          </w:rPr>
          <w:t>BIODIVERSITY</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_Toc56439385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31</w:t>
        </w:r>
        <w:r w:rsidR="008C53C1" w:rsidRPr="009B5B67">
          <w:rPr>
            <w:noProof/>
            <w:webHidden/>
            <w:lang w:val="en-GB"/>
          </w:rPr>
          <w:fldChar w:fldCharType="end"/>
        </w:r>
      </w:hyperlink>
    </w:p>
    <w:p w14:paraId="5DF46877" w14:textId="729CF2F5" w:rsidR="008C53C1" w:rsidRPr="009B5B67" w:rsidRDefault="00CD6DA4">
      <w:pPr>
        <w:pStyle w:val="TOC3"/>
        <w:tabs>
          <w:tab w:val="left" w:pos="666"/>
          <w:tab w:val="right" w:pos="9054"/>
        </w:tabs>
        <w:rPr>
          <w:rFonts w:eastAsiaTheme="minorEastAsia" w:cstheme="minorBidi"/>
          <w:smallCaps w:val="0"/>
          <w:noProof/>
          <w:lang w:val="en-GB" w:eastAsia="de-AT"/>
        </w:rPr>
      </w:pPr>
      <w:hyperlink w:anchor="_Toc56439386" w:history="1">
        <w:r w:rsidR="008C53C1" w:rsidRPr="009B5B67">
          <w:rPr>
            <w:rStyle w:val="Hyperlink"/>
            <w:rFonts w:cs="Times New Roman"/>
            <w:noProof/>
            <w:lang w:val="en-GB"/>
            <w14:scene3d>
              <w14:camera w14:prst="orthographicFront"/>
              <w14:lightRig w14:rig="threePt" w14:dir="t">
                <w14:rot w14:lat="0" w14:lon="0" w14:rev="0"/>
              </w14:lightRig>
            </w14:scene3d>
          </w:rPr>
          <w:t>2.4.5</w:t>
        </w:r>
        <w:r w:rsidR="008C53C1" w:rsidRPr="009B5B67">
          <w:rPr>
            <w:rFonts w:eastAsiaTheme="minorEastAsia" w:cstheme="minorBidi"/>
            <w:smallCaps w:val="0"/>
            <w:noProof/>
            <w:lang w:val="en-GB" w:eastAsia="de-AT"/>
          </w:rPr>
          <w:tab/>
        </w:r>
        <w:r w:rsidR="008C53C1" w:rsidRPr="009B5B67">
          <w:rPr>
            <w:rStyle w:val="Hyperlink"/>
            <w:noProof/>
            <w:lang w:val="en-GB"/>
          </w:rPr>
          <w:t>PUBLIC HEALTH</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_Toc56439386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32</w:t>
        </w:r>
        <w:r w:rsidR="008C53C1" w:rsidRPr="009B5B67">
          <w:rPr>
            <w:noProof/>
            <w:webHidden/>
            <w:lang w:val="en-GB"/>
          </w:rPr>
          <w:fldChar w:fldCharType="end"/>
        </w:r>
      </w:hyperlink>
    </w:p>
    <w:p w14:paraId="045896D8" w14:textId="5A6EC045" w:rsidR="008C53C1" w:rsidRPr="009B5B67" w:rsidRDefault="00CD6DA4">
      <w:pPr>
        <w:pStyle w:val="TOC2"/>
        <w:tabs>
          <w:tab w:val="left" w:pos="502"/>
          <w:tab w:val="right" w:pos="9054"/>
        </w:tabs>
        <w:rPr>
          <w:rFonts w:eastAsiaTheme="minorEastAsia" w:cstheme="minorBidi"/>
          <w:b w:val="0"/>
          <w:bCs w:val="0"/>
          <w:smallCaps w:val="0"/>
          <w:noProof/>
          <w:lang w:val="en-GB" w:eastAsia="de-AT"/>
        </w:rPr>
      </w:pPr>
      <w:hyperlink w:anchor="_Toc56439387" w:history="1">
        <w:r w:rsidR="008C53C1" w:rsidRPr="009B5B67">
          <w:rPr>
            <w:rStyle w:val="Hyperlink"/>
            <w:noProof/>
            <w:lang w:val="en-GB"/>
          </w:rPr>
          <w:t>3.5</w:t>
        </w:r>
        <w:r w:rsidR="008C53C1" w:rsidRPr="009B5B67">
          <w:rPr>
            <w:rFonts w:eastAsiaTheme="minorEastAsia" w:cstheme="minorBidi"/>
            <w:b w:val="0"/>
            <w:bCs w:val="0"/>
            <w:smallCaps w:val="0"/>
            <w:noProof/>
            <w:lang w:val="en-GB" w:eastAsia="de-AT"/>
          </w:rPr>
          <w:tab/>
        </w:r>
        <w:r w:rsidR="008C53C1" w:rsidRPr="009B5B67">
          <w:rPr>
            <w:rStyle w:val="Hyperlink"/>
            <w:noProof/>
            <w:lang w:val="en-GB"/>
          </w:rPr>
          <w:t>DISASTER RISK REDUCTION</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_Toc56439387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32</w:t>
        </w:r>
        <w:r w:rsidR="008C53C1" w:rsidRPr="009B5B67">
          <w:rPr>
            <w:noProof/>
            <w:webHidden/>
            <w:lang w:val="en-GB"/>
          </w:rPr>
          <w:fldChar w:fldCharType="end"/>
        </w:r>
      </w:hyperlink>
    </w:p>
    <w:p w14:paraId="559F8860" w14:textId="6E4876D9" w:rsidR="008C53C1" w:rsidRPr="009B5B67" w:rsidRDefault="00CD6DA4">
      <w:pPr>
        <w:pStyle w:val="TOC3"/>
        <w:tabs>
          <w:tab w:val="left" w:pos="666"/>
          <w:tab w:val="right" w:pos="9054"/>
        </w:tabs>
        <w:rPr>
          <w:rFonts w:eastAsiaTheme="minorEastAsia" w:cstheme="minorBidi"/>
          <w:smallCaps w:val="0"/>
          <w:noProof/>
          <w:lang w:val="en-GB" w:eastAsia="de-AT"/>
        </w:rPr>
      </w:pPr>
      <w:hyperlink w:anchor="_Toc56439388" w:history="1">
        <w:r w:rsidR="008C53C1" w:rsidRPr="009B5B67">
          <w:rPr>
            <w:rStyle w:val="Hyperlink"/>
            <w:rFonts w:cs="Times New Roman"/>
            <w:noProof/>
            <w:lang w:val="en-GB"/>
            <w14:scene3d>
              <w14:camera w14:prst="orthographicFront"/>
              <w14:lightRig w14:rig="threePt" w14:dir="t">
                <w14:rot w14:lat="0" w14:lon="0" w14:rev="0"/>
              </w14:lightRig>
            </w14:scene3d>
          </w:rPr>
          <w:t>2.5.1</w:t>
        </w:r>
        <w:r w:rsidR="008C53C1" w:rsidRPr="009B5B67">
          <w:rPr>
            <w:rFonts w:eastAsiaTheme="minorEastAsia" w:cstheme="minorBidi"/>
            <w:smallCaps w:val="0"/>
            <w:noProof/>
            <w:lang w:val="en-GB" w:eastAsia="de-AT"/>
          </w:rPr>
          <w:tab/>
        </w:r>
        <w:r w:rsidR="008C53C1" w:rsidRPr="009B5B67">
          <w:rPr>
            <w:rStyle w:val="Hyperlink"/>
            <w:noProof/>
            <w:lang w:val="en-GB"/>
          </w:rPr>
          <w:t>FINANCIAL ASSESSMENT OF LOSS AND DAMAGE</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_Toc56439388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34</w:t>
        </w:r>
        <w:r w:rsidR="008C53C1" w:rsidRPr="009B5B67">
          <w:rPr>
            <w:noProof/>
            <w:webHidden/>
            <w:lang w:val="en-GB"/>
          </w:rPr>
          <w:fldChar w:fldCharType="end"/>
        </w:r>
      </w:hyperlink>
    </w:p>
    <w:p w14:paraId="643FB5A5" w14:textId="05E21BF7" w:rsidR="008C53C1" w:rsidRPr="009B5B67" w:rsidRDefault="00CD6DA4">
      <w:pPr>
        <w:pStyle w:val="TOC3"/>
        <w:tabs>
          <w:tab w:val="left" w:pos="666"/>
          <w:tab w:val="right" w:pos="9054"/>
        </w:tabs>
        <w:rPr>
          <w:rFonts w:eastAsiaTheme="minorEastAsia" w:cstheme="minorBidi"/>
          <w:smallCaps w:val="0"/>
          <w:noProof/>
          <w:lang w:val="en-GB" w:eastAsia="de-AT"/>
        </w:rPr>
      </w:pPr>
      <w:hyperlink w:anchor="_Toc56439389" w:history="1">
        <w:r w:rsidR="008C53C1" w:rsidRPr="009B5B67">
          <w:rPr>
            <w:rStyle w:val="Hyperlink"/>
            <w:rFonts w:cs="Times New Roman"/>
            <w:noProof/>
            <w:lang w:val="en-GB"/>
            <w14:scene3d>
              <w14:camera w14:prst="orthographicFront"/>
              <w14:lightRig w14:rig="threePt" w14:dir="t">
                <w14:rot w14:lat="0" w14:lon="0" w14:rev="0"/>
              </w14:lightRig>
            </w14:scene3d>
          </w:rPr>
          <w:t>2.5.2</w:t>
        </w:r>
        <w:r w:rsidR="008C53C1" w:rsidRPr="009B5B67">
          <w:rPr>
            <w:rFonts w:eastAsiaTheme="minorEastAsia" w:cstheme="minorBidi"/>
            <w:smallCaps w:val="0"/>
            <w:noProof/>
            <w:lang w:val="en-GB" w:eastAsia="de-AT"/>
          </w:rPr>
          <w:tab/>
        </w:r>
        <w:r w:rsidR="008C53C1" w:rsidRPr="009B5B67">
          <w:rPr>
            <w:rStyle w:val="Hyperlink"/>
            <w:noProof/>
            <w:lang w:val="en-GB"/>
          </w:rPr>
          <w:t>LAND DEGRADATION</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_Toc56439389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37</w:t>
        </w:r>
        <w:r w:rsidR="008C53C1" w:rsidRPr="009B5B67">
          <w:rPr>
            <w:noProof/>
            <w:webHidden/>
            <w:lang w:val="en-GB"/>
          </w:rPr>
          <w:fldChar w:fldCharType="end"/>
        </w:r>
      </w:hyperlink>
    </w:p>
    <w:p w14:paraId="7B2874EC" w14:textId="03ACC7AE" w:rsidR="008C53C1" w:rsidRPr="009B5B67" w:rsidRDefault="00CD6DA4">
      <w:pPr>
        <w:pStyle w:val="TOC2"/>
        <w:tabs>
          <w:tab w:val="left" w:pos="502"/>
          <w:tab w:val="right" w:pos="9054"/>
        </w:tabs>
        <w:rPr>
          <w:rFonts w:eastAsiaTheme="minorEastAsia" w:cstheme="minorBidi"/>
          <w:b w:val="0"/>
          <w:bCs w:val="0"/>
          <w:smallCaps w:val="0"/>
          <w:noProof/>
          <w:lang w:val="en-GB" w:eastAsia="de-AT"/>
        </w:rPr>
      </w:pPr>
      <w:hyperlink w:anchor="_Toc56439390" w:history="1">
        <w:r w:rsidR="008C53C1" w:rsidRPr="009B5B67">
          <w:rPr>
            <w:rStyle w:val="Hyperlink"/>
            <w:noProof/>
            <w:lang w:val="en-GB"/>
          </w:rPr>
          <w:t>3.6</w:t>
        </w:r>
        <w:r w:rsidR="008C53C1" w:rsidRPr="009B5B67">
          <w:rPr>
            <w:rFonts w:eastAsiaTheme="minorEastAsia" w:cstheme="minorBidi"/>
            <w:b w:val="0"/>
            <w:bCs w:val="0"/>
            <w:smallCaps w:val="0"/>
            <w:noProof/>
            <w:lang w:val="en-GB" w:eastAsia="de-AT"/>
          </w:rPr>
          <w:tab/>
        </w:r>
        <w:r w:rsidR="008C53C1" w:rsidRPr="009B5B67">
          <w:rPr>
            <w:rStyle w:val="Hyperlink"/>
            <w:noProof/>
            <w:lang w:val="en-GB"/>
          </w:rPr>
          <w:t>IMPLEMENTATION OF ADAPTATION MEASURES</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_Toc56439390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37</w:t>
        </w:r>
        <w:r w:rsidR="008C53C1" w:rsidRPr="009B5B67">
          <w:rPr>
            <w:noProof/>
            <w:webHidden/>
            <w:lang w:val="en-GB"/>
          </w:rPr>
          <w:fldChar w:fldCharType="end"/>
        </w:r>
      </w:hyperlink>
    </w:p>
    <w:p w14:paraId="5A1A76D9" w14:textId="2FFAE5F2" w:rsidR="008C53C1" w:rsidRPr="009B5B67" w:rsidRDefault="00CD6DA4">
      <w:pPr>
        <w:pStyle w:val="TOC1"/>
        <w:rPr>
          <w:rFonts w:eastAsiaTheme="minorEastAsia" w:cstheme="minorBidi"/>
          <w:b w:val="0"/>
          <w:bCs w:val="0"/>
          <w:caps w:val="0"/>
          <w:noProof/>
          <w:u w:val="none"/>
          <w:lang w:val="en-GB" w:eastAsia="de-AT"/>
        </w:rPr>
      </w:pPr>
      <w:hyperlink w:anchor="_Toc56439391" w:history="1">
        <w:r w:rsidR="008C53C1" w:rsidRPr="009B5B67">
          <w:rPr>
            <w:rStyle w:val="Hyperlink"/>
            <w:noProof/>
            <w:lang w:val="en-GB" w:eastAsia="sr-Latn-RS"/>
          </w:rPr>
          <w:t xml:space="preserve">Annex 3 - </w:t>
        </w:r>
        <w:r w:rsidR="008C53C1" w:rsidRPr="009B5B67">
          <w:rPr>
            <w:rStyle w:val="Hyperlink"/>
            <w:noProof/>
            <w:lang w:val="en-GB"/>
          </w:rPr>
          <w:t>Mitigation and adaptation measures</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_Toc56439391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39</w:t>
        </w:r>
        <w:r w:rsidR="008C53C1" w:rsidRPr="009B5B67">
          <w:rPr>
            <w:noProof/>
            <w:webHidden/>
            <w:lang w:val="en-GB"/>
          </w:rPr>
          <w:fldChar w:fldCharType="end"/>
        </w:r>
      </w:hyperlink>
    </w:p>
    <w:p w14:paraId="444E3913" w14:textId="387DEFCD" w:rsidR="008C53C1" w:rsidRPr="009B5B67" w:rsidRDefault="00CD6DA4">
      <w:pPr>
        <w:pStyle w:val="TOC2"/>
        <w:tabs>
          <w:tab w:val="left" w:pos="502"/>
          <w:tab w:val="right" w:pos="9054"/>
        </w:tabs>
        <w:rPr>
          <w:rFonts w:eastAsiaTheme="minorEastAsia" w:cstheme="minorBidi"/>
          <w:b w:val="0"/>
          <w:bCs w:val="0"/>
          <w:smallCaps w:val="0"/>
          <w:noProof/>
          <w:lang w:val="en-GB" w:eastAsia="de-AT"/>
        </w:rPr>
      </w:pPr>
      <w:hyperlink w:anchor="_Toc56439392" w:history="1">
        <w:r w:rsidR="008C53C1" w:rsidRPr="009B5B67">
          <w:rPr>
            <w:rStyle w:val="Hyperlink"/>
            <w:noProof/>
            <w:lang w:val="en-GB"/>
          </w:rPr>
          <w:t>3.1</w:t>
        </w:r>
        <w:r w:rsidR="008C53C1" w:rsidRPr="009B5B67">
          <w:rPr>
            <w:rFonts w:eastAsiaTheme="minorEastAsia" w:cstheme="minorBidi"/>
            <w:b w:val="0"/>
            <w:bCs w:val="0"/>
            <w:smallCaps w:val="0"/>
            <w:noProof/>
            <w:lang w:val="en-GB" w:eastAsia="de-AT"/>
          </w:rPr>
          <w:tab/>
        </w:r>
        <w:r w:rsidR="008C53C1" w:rsidRPr="009B5B67">
          <w:rPr>
            <w:rStyle w:val="Hyperlink"/>
            <w:noProof/>
            <w:lang w:val="en-GB"/>
          </w:rPr>
          <w:t>NDC Implementation Plan</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_Toc56439392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39</w:t>
        </w:r>
        <w:r w:rsidR="008C53C1" w:rsidRPr="009B5B67">
          <w:rPr>
            <w:noProof/>
            <w:webHidden/>
            <w:lang w:val="en-GB"/>
          </w:rPr>
          <w:fldChar w:fldCharType="end"/>
        </w:r>
      </w:hyperlink>
    </w:p>
    <w:p w14:paraId="07F06A5E" w14:textId="063E7DAB" w:rsidR="008C53C1" w:rsidRPr="009B5B67" w:rsidRDefault="00CD6DA4">
      <w:pPr>
        <w:pStyle w:val="TOC2"/>
        <w:tabs>
          <w:tab w:val="left" w:pos="502"/>
          <w:tab w:val="right" w:pos="9054"/>
        </w:tabs>
        <w:rPr>
          <w:rFonts w:eastAsiaTheme="minorEastAsia" w:cstheme="minorBidi"/>
          <w:b w:val="0"/>
          <w:bCs w:val="0"/>
          <w:smallCaps w:val="0"/>
          <w:noProof/>
          <w:lang w:val="en-GB" w:eastAsia="de-AT"/>
        </w:rPr>
      </w:pPr>
      <w:hyperlink w:anchor="_Toc56439393" w:history="1">
        <w:r w:rsidR="008C53C1" w:rsidRPr="009B5B67">
          <w:rPr>
            <w:rStyle w:val="Hyperlink"/>
            <w:noProof/>
            <w:lang w:val="en-GB"/>
          </w:rPr>
          <w:t>3.2</w:t>
        </w:r>
        <w:r w:rsidR="008C53C1" w:rsidRPr="009B5B67">
          <w:rPr>
            <w:rFonts w:eastAsiaTheme="minorEastAsia" w:cstheme="minorBidi"/>
            <w:b w:val="0"/>
            <w:bCs w:val="0"/>
            <w:smallCaps w:val="0"/>
            <w:noProof/>
            <w:lang w:val="en-GB" w:eastAsia="de-AT"/>
          </w:rPr>
          <w:tab/>
        </w:r>
        <w:r w:rsidR="008C53C1" w:rsidRPr="009B5B67">
          <w:rPr>
            <w:rStyle w:val="Hyperlink"/>
            <w:noProof/>
            <w:lang w:val="en-GB"/>
          </w:rPr>
          <w:t>Mitigation related projects, measures and actions required for achievement of Serbian NDC</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_Toc56439393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41</w:t>
        </w:r>
        <w:r w:rsidR="008C53C1" w:rsidRPr="009B5B67">
          <w:rPr>
            <w:noProof/>
            <w:webHidden/>
            <w:lang w:val="en-GB"/>
          </w:rPr>
          <w:fldChar w:fldCharType="end"/>
        </w:r>
      </w:hyperlink>
    </w:p>
    <w:p w14:paraId="2D2D512C" w14:textId="0947B1E3" w:rsidR="008C53C1" w:rsidRPr="009B5B67" w:rsidRDefault="00CD6DA4">
      <w:pPr>
        <w:pStyle w:val="TOC2"/>
        <w:tabs>
          <w:tab w:val="left" w:pos="502"/>
          <w:tab w:val="right" w:pos="9054"/>
        </w:tabs>
        <w:rPr>
          <w:rFonts w:eastAsiaTheme="minorEastAsia" w:cstheme="minorBidi"/>
          <w:b w:val="0"/>
          <w:bCs w:val="0"/>
          <w:smallCaps w:val="0"/>
          <w:noProof/>
          <w:lang w:val="en-GB" w:eastAsia="de-AT"/>
        </w:rPr>
      </w:pPr>
      <w:hyperlink w:anchor="_Toc56439394" w:history="1">
        <w:r w:rsidR="008C53C1" w:rsidRPr="009B5B67">
          <w:rPr>
            <w:rStyle w:val="Hyperlink"/>
            <w:noProof/>
            <w:lang w:val="en-GB"/>
          </w:rPr>
          <w:t>3.3</w:t>
        </w:r>
        <w:r w:rsidR="008C53C1" w:rsidRPr="009B5B67">
          <w:rPr>
            <w:rFonts w:eastAsiaTheme="minorEastAsia" w:cstheme="minorBidi"/>
            <w:b w:val="0"/>
            <w:bCs w:val="0"/>
            <w:smallCaps w:val="0"/>
            <w:noProof/>
            <w:lang w:val="en-GB" w:eastAsia="de-AT"/>
          </w:rPr>
          <w:tab/>
        </w:r>
        <w:r w:rsidR="008C53C1" w:rsidRPr="009B5B67">
          <w:rPr>
            <w:rStyle w:val="Hyperlink"/>
            <w:noProof/>
            <w:lang w:val="en-GB"/>
          </w:rPr>
          <w:t>Adaptation related projects, measures and actions required for achievement of Serbian NDC</w:t>
        </w:r>
        <w:r w:rsidR="008C53C1" w:rsidRPr="009B5B67">
          <w:rPr>
            <w:noProof/>
            <w:webHidden/>
            <w:lang w:val="en-GB"/>
          </w:rPr>
          <w:tab/>
        </w:r>
        <w:r w:rsidR="008C53C1" w:rsidRPr="009B5B67">
          <w:rPr>
            <w:noProof/>
            <w:webHidden/>
            <w:lang w:val="en-GB"/>
          </w:rPr>
          <w:fldChar w:fldCharType="begin"/>
        </w:r>
        <w:r w:rsidR="008C53C1" w:rsidRPr="009B5B67">
          <w:rPr>
            <w:noProof/>
            <w:webHidden/>
            <w:lang w:val="en-GB"/>
          </w:rPr>
          <w:instrText xml:space="preserve"> PAGEREF _Toc56439394 \h </w:instrText>
        </w:r>
        <w:r w:rsidR="008C53C1" w:rsidRPr="009B5B67">
          <w:rPr>
            <w:noProof/>
            <w:webHidden/>
            <w:lang w:val="en-GB"/>
          </w:rPr>
        </w:r>
        <w:r w:rsidR="008C53C1" w:rsidRPr="009B5B67">
          <w:rPr>
            <w:noProof/>
            <w:webHidden/>
            <w:lang w:val="en-GB"/>
          </w:rPr>
          <w:fldChar w:fldCharType="separate"/>
        </w:r>
        <w:r w:rsidR="00F36A14" w:rsidRPr="009B5B67">
          <w:rPr>
            <w:noProof/>
            <w:webHidden/>
            <w:lang w:val="en-GB"/>
          </w:rPr>
          <w:t>56</w:t>
        </w:r>
        <w:r w:rsidR="008C53C1" w:rsidRPr="009B5B67">
          <w:rPr>
            <w:noProof/>
            <w:webHidden/>
            <w:lang w:val="en-GB"/>
          </w:rPr>
          <w:fldChar w:fldCharType="end"/>
        </w:r>
      </w:hyperlink>
    </w:p>
    <w:p w14:paraId="2BF4A969" w14:textId="09A9FE31" w:rsidR="00503AE8" w:rsidRPr="009B5B67" w:rsidRDefault="000F199D" w:rsidP="00742051">
      <w:pPr>
        <w:rPr>
          <w:lang w:val="en-GB"/>
        </w:rPr>
        <w:sectPr w:rsidR="00503AE8" w:rsidRPr="009B5B67" w:rsidSect="00742051">
          <w:headerReference w:type="default" r:id="rId18"/>
          <w:footerReference w:type="default" r:id="rId19"/>
          <w:headerReference w:type="first" r:id="rId20"/>
          <w:footerReference w:type="first" r:id="rId21"/>
          <w:pgSz w:w="11900" w:h="16840"/>
          <w:pgMar w:top="1317" w:right="1418" w:bottom="1134" w:left="1418" w:header="709" w:footer="232" w:gutter="0"/>
          <w:cols w:space="708"/>
          <w:titlePg/>
          <w:docGrid w:linePitch="360"/>
        </w:sectPr>
      </w:pPr>
      <w:r w:rsidRPr="009B5B67">
        <w:rPr>
          <w:lang w:val="en-GB"/>
        </w:rPr>
        <w:fldChar w:fldCharType="end"/>
      </w:r>
    </w:p>
    <w:p w14:paraId="6413E4BA" w14:textId="5B949E1E" w:rsidR="000A5269" w:rsidRPr="009B5B67" w:rsidRDefault="00BB13CA" w:rsidP="00AD5E7C">
      <w:pPr>
        <w:spacing w:before="600" w:after="480" w:line="360" w:lineRule="auto"/>
        <w:contextualSpacing/>
        <w:jc w:val="center"/>
        <w:rPr>
          <w:rFonts w:cstheme="minorHAnsi"/>
          <w:b/>
          <w:sz w:val="32"/>
          <w:szCs w:val="20"/>
          <w:highlight w:val="lightGray"/>
          <w:lang w:val="en-GB"/>
        </w:rPr>
      </w:pPr>
      <w:r w:rsidRPr="009B5B67">
        <w:rPr>
          <w:rFonts w:cstheme="minorHAnsi"/>
          <w:b/>
          <w:sz w:val="32"/>
          <w:szCs w:val="20"/>
          <w:highlight w:val="lightGray"/>
          <w:lang w:val="en-GB"/>
        </w:rPr>
        <w:lastRenderedPageBreak/>
        <w:t xml:space="preserve">TO BE SUBMITTED TO THE UNFCCC </w:t>
      </w:r>
    </w:p>
    <w:p w14:paraId="39693F26" w14:textId="77777777" w:rsidR="00BB13CA" w:rsidRPr="009B5B67" w:rsidRDefault="00BB13CA" w:rsidP="00AD5E7C">
      <w:pPr>
        <w:spacing w:before="600" w:after="480" w:line="360" w:lineRule="auto"/>
        <w:contextualSpacing/>
        <w:jc w:val="center"/>
        <w:rPr>
          <w:rFonts w:cstheme="minorHAnsi"/>
          <w:b/>
          <w:sz w:val="32"/>
          <w:szCs w:val="20"/>
          <w:lang w:val="en-GB"/>
        </w:rPr>
      </w:pPr>
    </w:p>
    <w:p w14:paraId="6A3AADA0" w14:textId="4BD5805B" w:rsidR="00503AE8" w:rsidRPr="009B5B67" w:rsidRDefault="00A44E1C" w:rsidP="00AD5E7C">
      <w:pPr>
        <w:spacing w:before="600" w:after="480" w:line="360" w:lineRule="auto"/>
        <w:contextualSpacing/>
        <w:jc w:val="center"/>
        <w:rPr>
          <w:rFonts w:cstheme="minorHAnsi"/>
          <w:b/>
          <w:sz w:val="32"/>
          <w:szCs w:val="20"/>
          <w:lang w:val="en-GB"/>
        </w:rPr>
      </w:pPr>
      <w:r w:rsidRPr="009B5B67">
        <w:rPr>
          <w:rFonts w:cstheme="minorHAnsi"/>
          <w:b/>
          <w:sz w:val="32"/>
          <w:szCs w:val="20"/>
          <w:lang w:val="en-GB"/>
        </w:rPr>
        <w:t xml:space="preserve">DRAFT </w:t>
      </w:r>
      <w:r w:rsidR="00503AE8" w:rsidRPr="009B5B67">
        <w:rPr>
          <w:rFonts w:cstheme="minorHAnsi"/>
          <w:b/>
          <w:sz w:val="32"/>
          <w:szCs w:val="20"/>
          <w:lang w:val="en-GB"/>
        </w:rPr>
        <w:t xml:space="preserve">Nationally Determined Contribution (NDC) </w:t>
      </w:r>
      <w:r w:rsidR="00503AE8" w:rsidRPr="009B5B67">
        <w:rPr>
          <w:rFonts w:cstheme="minorHAnsi"/>
          <w:b/>
          <w:sz w:val="32"/>
          <w:szCs w:val="20"/>
          <w:lang w:val="en-GB"/>
        </w:rPr>
        <w:br/>
        <w:t>of the Republic of Se</w:t>
      </w:r>
      <w:r w:rsidR="00AA62B3" w:rsidRPr="009B5B67">
        <w:rPr>
          <w:rFonts w:cstheme="minorHAnsi"/>
          <w:b/>
          <w:sz w:val="32"/>
          <w:szCs w:val="20"/>
          <w:lang w:val="en-GB"/>
        </w:rPr>
        <w:t>rbia for the period 2021 – 2030</w:t>
      </w:r>
    </w:p>
    <w:p w14:paraId="1CD62441" w14:textId="77777777" w:rsidR="00E80B29" w:rsidRPr="009B5B67" w:rsidRDefault="00E80B29" w:rsidP="00AD5E7C">
      <w:pPr>
        <w:spacing w:before="600" w:after="480" w:line="360" w:lineRule="auto"/>
        <w:contextualSpacing/>
        <w:jc w:val="center"/>
        <w:rPr>
          <w:rFonts w:cstheme="minorHAnsi"/>
          <w:b/>
          <w:sz w:val="32"/>
          <w:szCs w:val="20"/>
          <w:lang w:val="en-GB"/>
        </w:rPr>
      </w:pPr>
    </w:p>
    <w:p w14:paraId="3DBE3CC0" w14:textId="77777777" w:rsidR="00DA5D79" w:rsidRPr="009B5B67" w:rsidRDefault="00DA5D79" w:rsidP="00DA5D79">
      <w:pPr>
        <w:spacing w:before="600" w:after="480" w:line="360" w:lineRule="auto"/>
        <w:contextualSpacing/>
        <w:jc w:val="left"/>
        <w:rPr>
          <w:rFonts w:cstheme="minorHAnsi"/>
          <w:b/>
          <w:szCs w:val="20"/>
          <w:lang w:val="en-GB"/>
        </w:rPr>
      </w:pPr>
      <w:r w:rsidRPr="009B5B67">
        <w:rPr>
          <w:rFonts w:cstheme="minorHAnsi"/>
          <w:b/>
          <w:szCs w:val="20"/>
          <w:lang w:val="en-GB"/>
        </w:rPr>
        <w:t>Introduction</w:t>
      </w:r>
    </w:p>
    <w:p w14:paraId="6FCE4C21" w14:textId="73525B74" w:rsidR="00882AE3" w:rsidRPr="009B5B67" w:rsidRDefault="00882AE3" w:rsidP="0022147C">
      <w:pPr>
        <w:rPr>
          <w:rFonts w:cs="Arial"/>
          <w:szCs w:val="20"/>
          <w:lang w:val="en-GB"/>
        </w:rPr>
      </w:pPr>
      <w:r w:rsidRPr="009B5B67">
        <w:rPr>
          <w:rFonts w:cs="Arial"/>
          <w:szCs w:val="20"/>
          <w:lang w:val="en-GB"/>
        </w:rPr>
        <w:t xml:space="preserve">The Republic of Serbia </w:t>
      </w:r>
      <w:r w:rsidR="00C62ADD" w:rsidRPr="009B5B67">
        <w:rPr>
          <w:rFonts w:cs="Arial"/>
          <w:szCs w:val="20"/>
          <w:lang w:val="en-GB"/>
        </w:rPr>
        <w:t>is</w:t>
      </w:r>
      <w:r w:rsidRPr="009B5B67">
        <w:rPr>
          <w:rFonts w:cs="Arial"/>
          <w:szCs w:val="20"/>
          <w:lang w:val="en-GB"/>
        </w:rPr>
        <w:t xml:space="preserve"> a Party to the United Nations Framework Convention on Climate Change (UNFCCC) since 2001 and to the Paris Agreement since 2017. </w:t>
      </w:r>
      <w:r w:rsidR="00C62ADD" w:rsidRPr="009B5B67">
        <w:rPr>
          <w:rFonts w:cs="Arial"/>
          <w:szCs w:val="20"/>
          <w:lang w:val="en-GB"/>
        </w:rPr>
        <w:t>In</w:t>
      </w:r>
      <w:r w:rsidR="0022147C" w:rsidRPr="009B5B67">
        <w:rPr>
          <w:rFonts w:cs="Arial"/>
          <w:szCs w:val="20"/>
          <w:lang w:val="en-GB"/>
        </w:rPr>
        <w:t xml:space="preserve"> 2015, the Government of the Republic of Serbia submitted its Intended National Determined Contributions (INDCs), anticipating a 9.8% </w:t>
      </w:r>
      <w:r w:rsidR="00C62ADD" w:rsidRPr="009B5B67">
        <w:rPr>
          <w:rFonts w:cs="Arial"/>
          <w:szCs w:val="20"/>
          <w:lang w:val="en-GB"/>
        </w:rPr>
        <w:t>GHG emissions reduction</w:t>
      </w:r>
      <w:r w:rsidR="0022147C" w:rsidRPr="009B5B67">
        <w:rPr>
          <w:rFonts w:cs="Arial"/>
          <w:szCs w:val="20"/>
          <w:lang w:val="en-GB"/>
        </w:rPr>
        <w:t xml:space="preserve"> by 2030 compared to base year emissions (1990). The first NDC also refers to losses and damages associated with extreme weather events and indicates the need to adapt to climate change.</w:t>
      </w:r>
    </w:p>
    <w:p w14:paraId="789A6999" w14:textId="77777777" w:rsidR="00E376AF" w:rsidRPr="009B5B67" w:rsidRDefault="00A450F9" w:rsidP="00D55141">
      <w:pPr>
        <w:pStyle w:val="ListParagraph"/>
        <w:spacing w:line="276" w:lineRule="auto"/>
        <w:ind w:left="0"/>
        <w:contextualSpacing w:val="0"/>
        <w:rPr>
          <w:rFonts w:cs="Arial"/>
          <w:szCs w:val="20"/>
          <w:lang w:val="en-GB"/>
        </w:rPr>
      </w:pPr>
      <w:r w:rsidRPr="009B5B67">
        <w:rPr>
          <w:rFonts w:cs="Arial"/>
          <w:szCs w:val="20"/>
          <w:lang w:val="en-GB"/>
        </w:rPr>
        <w:t>The Republic of Serbia hereby communicates its updated Nationally Determined Contribution (NDC). In accordance with the Articles 3 and 4 of the Paris Agreement and paragraph</w:t>
      </w:r>
      <w:r w:rsidR="00E376AF" w:rsidRPr="009B5B67">
        <w:rPr>
          <w:rFonts w:cs="Arial"/>
          <w:szCs w:val="20"/>
          <w:lang w:val="en-GB"/>
        </w:rPr>
        <w:t>s 22 and 24 of Decision 1 CP/21:</w:t>
      </w:r>
    </w:p>
    <w:p w14:paraId="42994CB0" w14:textId="528C42C5" w:rsidR="00D55141" w:rsidRPr="009B5B67" w:rsidRDefault="00E376AF" w:rsidP="00D55141">
      <w:pPr>
        <w:pStyle w:val="ListParagraph"/>
        <w:spacing w:line="276" w:lineRule="auto"/>
        <w:ind w:left="0"/>
        <w:contextualSpacing w:val="0"/>
        <w:rPr>
          <w:rFonts w:cs="Arial"/>
          <w:szCs w:val="20"/>
          <w:lang w:val="en-GB"/>
        </w:rPr>
      </w:pPr>
      <w:r w:rsidRPr="009B5B67">
        <w:rPr>
          <w:rFonts w:cs="Arial"/>
          <w:szCs w:val="20"/>
          <w:lang w:val="en-GB"/>
        </w:rPr>
        <w:t>I</w:t>
      </w:r>
      <w:r w:rsidR="00A450F9" w:rsidRPr="009B5B67">
        <w:rPr>
          <w:rFonts w:cs="Arial"/>
          <w:szCs w:val="20"/>
          <w:lang w:val="en-GB"/>
        </w:rPr>
        <w:t>ncreasing its ambition</w:t>
      </w:r>
      <w:r w:rsidR="003036D7" w:rsidRPr="009B5B67">
        <w:rPr>
          <w:rFonts w:cs="Arial"/>
          <w:szCs w:val="20"/>
          <w:lang w:val="en-GB"/>
        </w:rPr>
        <w:t xml:space="preserve"> to the GHG emission reduction of 13,2% compared to 2010 level (</w:t>
      </w:r>
      <w:proofErr w:type="gramStart"/>
      <w:r w:rsidR="003036D7" w:rsidRPr="009B5B67">
        <w:rPr>
          <w:rFonts w:cs="Arial"/>
          <w:szCs w:val="20"/>
          <w:lang w:val="en-GB"/>
        </w:rPr>
        <w:t>i.e.</w:t>
      </w:r>
      <w:proofErr w:type="gramEnd"/>
      <w:r w:rsidR="003036D7" w:rsidRPr="009B5B67">
        <w:rPr>
          <w:rFonts w:cs="Arial"/>
          <w:szCs w:val="20"/>
          <w:lang w:val="en-GB"/>
        </w:rPr>
        <w:t xml:space="preserve"> 33,3% compared to 1990.)</w:t>
      </w:r>
      <w:r w:rsidR="00A450F9" w:rsidRPr="009B5B67">
        <w:rPr>
          <w:rFonts w:cs="Arial"/>
          <w:szCs w:val="20"/>
          <w:lang w:val="en-GB"/>
        </w:rPr>
        <w:t xml:space="preserve"> b</w:t>
      </w:r>
      <w:r w:rsidR="00CC145A" w:rsidRPr="009B5B67">
        <w:rPr>
          <w:rFonts w:cs="Arial"/>
          <w:szCs w:val="20"/>
          <w:lang w:val="en-GB"/>
        </w:rPr>
        <w:t>y 2030</w:t>
      </w:r>
      <w:r w:rsidRPr="009B5B67">
        <w:rPr>
          <w:rFonts w:cs="Arial"/>
          <w:szCs w:val="20"/>
          <w:lang w:val="en-GB"/>
        </w:rPr>
        <w:t>,</w:t>
      </w:r>
      <w:r w:rsidR="00D55141" w:rsidRPr="009B5B67">
        <w:rPr>
          <w:rFonts w:cs="Arial"/>
          <w:szCs w:val="20"/>
          <w:lang w:val="en-GB"/>
        </w:rPr>
        <w:t xml:space="preserve"> and </w:t>
      </w:r>
    </w:p>
    <w:p w14:paraId="061987F3" w14:textId="49D3F50E" w:rsidR="006F1717" w:rsidRPr="009B5B67" w:rsidRDefault="00D55141" w:rsidP="006F1717">
      <w:pPr>
        <w:pStyle w:val="ListParagraph"/>
        <w:spacing w:line="276" w:lineRule="auto"/>
        <w:ind w:left="0"/>
        <w:contextualSpacing w:val="0"/>
        <w:rPr>
          <w:rFonts w:cs="Arial"/>
          <w:szCs w:val="20"/>
          <w:u w:val="single"/>
          <w:shd w:val="clear" w:color="auto" w:fill="FFFFFF"/>
          <w:lang w:val="en-GB"/>
        </w:rPr>
      </w:pPr>
      <w:r w:rsidRPr="009B5B67">
        <w:rPr>
          <w:rFonts w:cs="Arial"/>
          <w:szCs w:val="20"/>
          <w:lang w:val="en-GB"/>
        </w:rPr>
        <w:t>Anticipating that in the period 2015-2020 period</w:t>
      </w:r>
      <w:r w:rsidR="006748A3" w:rsidRPr="009B5B67">
        <w:rPr>
          <w:rFonts w:cs="Arial"/>
          <w:szCs w:val="20"/>
          <w:lang w:val="en-GB"/>
        </w:rPr>
        <w:t>,</w:t>
      </w:r>
      <w:r w:rsidRPr="009B5B67">
        <w:rPr>
          <w:rFonts w:cs="Arial"/>
          <w:szCs w:val="20"/>
          <w:lang w:val="en-GB"/>
        </w:rPr>
        <w:t xml:space="preserve"> Serbia suffered damages of minimum EUR 1.8 billion, additional to</w:t>
      </w:r>
      <w:r w:rsidRPr="009B5B67">
        <w:rPr>
          <w:rFonts w:cs="Arial"/>
          <w:szCs w:val="20"/>
          <w:u w:val="single"/>
          <w:lang w:val="en-GB"/>
        </w:rPr>
        <w:t xml:space="preserve"> </w:t>
      </w:r>
      <w:r w:rsidRPr="009B5B67">
        <w:rPr>
          <w:rFonts w:cstheme="majorHAnsi"/>
          <w:szCs w:val="20"/>
          <w:lang w:val="en-GB"/>
        </w:rPr>
        <w:t xml:space="preserve">EUR 5 billion the period 2000-2015, caused by climate change and extreme weather events. </w:t>
      </w:r>
    </w:p>
    <w:p w14:paraId="0B427219" w14:textId="1FC8854F" w:rsidR="005D642C" w:rsidRPr="009B5B67" w:rsidRDefault="005D642C" w:rsidP="005D642C">
      <w:pPr>
        <w:spacing w:line="240" w:lineRule="auto"/>
        <w:contextualSpacing/>
        <w:rPr>
          <w:rFonts w:cs="Arial"/>
          <w:szCs w:val="20"/>
          <w:lang w:val="en-GB"/>
        </w:rPr>
      </w:pPr>
      <w:r w:rsidRPr="009B5B67">
        <w:rPr>
          <w:rFonts w:cs="Arial"/>
          <w:szCs w:val="20"/>
          <w:lang w:val="en-GB"/>
        </w:rPr>
        <w:t xml:space="preserve">Revised GHG emission reduction target is defined in the Low Carbon Development Strategy (LCDS) with Action plan (LCDS) prepared in the period 2016 – 2019. </w:t>
      </w:r>
    </w:p>
    <w:p w14:paraId="43EC7EAB" w14:textId="1978A1BC" w:rsidR="00154FF1" w:rsidRPr="009B5B67" w:rsidRDefault="00486944" w:rsidP="008F57F2">
      <w:pPr>
        <w:pStyle w:val="ListParagraph"/>
        <w:spacing w:line="276" w:lineRule="auto"/>
        <w:ind w:left="0"/>
        <w:contextualSpacing w:val="0"/>
        <w:rPr>
          <w:rFonts w:cs="Arial"/>
          <w:szCs w:val="20"/>
          <w:lang w:val="en-GB" w:bidi="hi-IN"/>
        </w:rPr>
      </w:pPr>
      <w:bookmarkStart w:id="1" w:name="_Toc37582759"/>
      <w:bookmarkStart w:id="2" w:name="_Toc37593482"/>
      <w:bookmarkStart w:id="3" w:name="_Toc37593638"/>
      <w:bookmarkStart w:id="4" w:name="_Toc37593701"/>
      <w:bookmarkStart w:id="5" w:name="_Toc37593764"/>
      <w:bookmarkStart w:id="6" w:name="_Toc37594280"/>
      <w:bookmarkStart w:id="7" w:name="_Toc37594343"/>
      <w:bookmarkStart w:id="8" w:name="_Toc37594406"/>
      <w:bookmarkStart w:id="9" w:name="_Toc37594469"/>
      <w:bookmarkStart w:id="10" w:name="_Toc37594551"/>
      <w:bookmarkStart w:id="11" w:name="_Toc37594615"/>
      <w:bookmarkStart w:id="12" w:name="_Toc37594894"/>
      <w:bookmarkStart w:id="13" w:name="_Toc37594959"/>
      <w:bookmarkStart w:id="14" w:name="_Toc37595056"/>
      <w:bookmarkStart w:id="15" w:name="_Toc37599240"/>
      <w:bookmarkStart w:id="16" w:name="_Toc3795853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9B5B67">
        <w:rPr>
          <w:rFonts w:cs="Arial"/>
          <w:szCs w:val="20"/>
          <w:shd w:val="clear" w:color="auto" w:fill="FFFFFF"/>
          <w:lang w:val="en-GB"/>
        </w:rPr>
        <w:t>S</w:t>
      </w:r>
      <w:r w:rsidR="00882AE3" w:rsidRPr="009B5B67">
        <w:rPr>
          <w:rFonts w:cs="Arial"/>
          <w:szCs w:val="20"/>
          <w:shd w:val="clear" w:color="auto" w:fill="FFFFFF"/>
          <w:lang w:val="en-GB"/>
        </w:rPr>
        <w:t>erbia is a land locked country</w:t>
      </w:r>
      <w:r w:rsidR="001E6979" w:rsidRPr="009B5B67">
        <w:rPr>
          <w:rFonts w:cs="Arial"/>
          <w:szCs w:val="20"/>
          <w:shd w:val="clear" w:color="auto" w:fill="FFFFFF"/>
          <w:lang w:val="en-GB"/>
        </w:rPr>
        <w:t>. Energy is one of the largest sectors of the Serbian economy</w:t>
      </w:r>
      <w:r w:rsidR="006748A3" w:rsidRPr="009B5B67">
        <w:rPr>
          <w:rFonts w:cs="Arial"/>
          <w:szCs w:val="20"/>
          <w:shd w:val="clear" w:color="auto" w:fill="FFFFFF"/>
          <w:lang w:val="en-GB"/>
        </w:rPr>
        <w:t xml:space="preserve">, and </w:t>
      </w:r>
      <w:proofErr w:type="gramStart"/>
      <w:r w:rsidR="00154FF1" w:rsidRPr="009B5B67">
        <w:rPr>
          <w:rFonts w:cs="Arial"/>
          <w:szCs w:val="20"/>
          <w:shd w:val="clear" w:color="auto" w:fill="FFFFFF"/>
          <w:lang w:val="en-GB"/>
        </w:rPr>
        <w:t>the most</w:t>
      </w:r>
      <w:proofErr w:type="gramEnd"/>
      <w:r w:rsidR="00154FF1" w:rsidRPr="009B5B67">
        <w:rPr>
          <w:rFonts w:cs="Arial"/>
          <w:szCs w:val="20"/>
          <w:shd w:val="clear" w:color="auto" w:fill="FFFFFF"/>
          <w:lang w:val="en-GB"/>
        </w:rPr>
        <w:t xml:space="preserve"> of the </w:t>
      </w:r>
      <w:r w:rsidR="00F67066" w:rsidRPr="009B5B67">
        <w:rPr>
          <w:rFonts w:cs="Arial"/>
          <w:szCs w:val="20"/>
          <w:shd w:val="clear" w:color="auto" w:fill="FFFFFF"/>
          <w:lang w:val="en-GB"/>
        </w:rPr>
        <w:t xml:space="preserve">electricity is </w:t>
      </w:r>
      <w:r w:rsidR="00154FF1" w:rsidRPr="009B5B67">
        <w:rPr>
          <w:rFonts w:cs="Arial"/>
          <w:szCs w:val="20"/>
          <w:shd w:val="clear" w:color="auto" w:fill="FFFFFF"/>
          <w:lang w:val="en-GB"/>
        </w:rPr>
        <w:t xml:space="preserve">produced </w:t>
      </w:r>
      <w:r w:rsidR="00F67066" w:rsidRPr="009B5B67">
        <w:rPr>
          <w:rFonts w:cs="Arial"/>
          <w:szCs w:val="20"/>
          <w:shd w:val="clear" w:color="auto" w:fill="FFFFFF"/>
          <w:lang w:val="en-GB"/>
        </w:rPr>
        <w:t>in</w:t>
      </w:r>
      <w:r w:rsidR="00154FF1" w:rsidRPr="009B5B67">
        <w:rPr>
          <w:rFonts w:cs="Arial"/>
          <w:szCs w:val="20"/>
          <w:shd w:val="clear" w:color="auto" w:fill="FFFFFF"/>
          <w:lang w:val="en-GB"/>
        </w:rPr>
        <w:t xml:space="preserve"> thermal power plants (about 70% of electricity)</w:t>
      </w:r>
      <w:r w:rsidR="00786399" w:rsidRPr="009B5B67">
        <w:rPr>
          <w:rFonts w:cs="Arial"/>
          <w:szCs w:val="20"/>
          <w:shd w:val="clear" w:color="auto" w:fill="FFFFFF"/>
          <w:lang w:val="en-GB"/>
        </w:rPr>
        <w:t xml:space="preserve"> </w:t>
      </w:r>
      <w:r w:rsidR="00F67066" w:rsidRPr="009B5B67">
        <w:rPr>
          <w:rFonts w:cs="Arial"/>
          <w:szCs w:val="20"/>
          <w:lang w:val="en-GB" w:bidi="hi-IN"/>
        </w:rPr>
        <w:t>using domestic low-calorifi</w:t>
      </w:r>
      <w:r w:rsidR="00EE260C" w:rsidRPr="009B5B67">
        <w:rPr>
          <w:rFonts w:cs="Arial"/>
          <w:szCs w:val="20"/>
          <w:lang w:val="en-GB" w:bidi="hi-IN"/>
        </w:rPr>
        <w:t xml:space="preserve">c </w:t>
      </w:r>
      <w:proofErr w:type="spellStart"/>
      <w:r w:rsidR="00EE260C" w:rsidRPr="009B5B67">
        <w:rPr>
          <w:rFonts w:cs="Arial"/>
          <w:szCs w:val="20"/>
          <w:lang w:val="en-GB" w:bidi="hi-IN"/>
        </w:rPr>
        <w:t>lignate</w:t>
      </w:r>
      <w:proofErr w:type="spellEnd"/>
      <w:r w:rsidR="00EE260C" w:rsidRPr="009B5B67">
        <w:rPr>
          <w:rFonts w:cs="Arial"/>
          <w:szCs w:val="20"/>
          <w:lang w:val="en-GB" w:bidi="hi-IN"/>
        </w:rPr>
        <w:t xml:space="preserve">. </w:t>
      </w:r>
      <w:r w:rsidR="00EF292E" w:rsidRPr="009B5B67">
        <w:rPr>
          <w:rFonts w:cs="Arial"/>
          <w:szCs w:val="20"/>
          <w:lang w:val="en-GB" w:bidi="hi-IN"/>
        </w:rPr>
        <w:t xml:space="preserve">The most of the </w:t>
      </w:r>
      <w:r w:rsidR="00EF292E" w:rsidRPr="009B5B67">
        <w:rPr>
          <w:rFonts w:cs="Arial"/>
          <w:szCs w:val="20"/>
          <w:shd w:val="clear" w:color="auto" w:fill="FFFFFF"/>
          <w:lang w:val="en-GB"/>
        </w:rPr>
        <w:t xml:space="preserve">remaining 30% is </w:t>
      </w:r>
      <w:proofErr w:type="gramStart"/>
      <w:r w:rsidR="00EF292E" w:rsidRPr="009B5B67">
        <w:rPr>
          <w:rFonts w:cs="Arial"/>
          <w:szCs w:val="20"/>
          <w:shd w:val="clear" w:color="auto" w:fill="FFFFFF"/>
          <w:lang w:val="en-GB"/>
        </w:rPr>
        <w:t>hydro-energy</w:t>
      </w:r>
      <w:proofErr w:type="gramEnd"/>
      <w:r w:rsidR="00CA314F" w:rsidRPr="009B5B67">
        <w:rPr>
          <w:rFonts w:cs="Arial"/>
          <w:szCs w:val="20"/>
          <w:shd w:val="clear" w:color="auto" w:fill="FFFFFF"/>
          <w:lang w:val="en-GB"/>
        </w:rPr>
        <w:t>.</w:t>
      </w:r>
      <w:r w:rsidR="00EF292E" w:rsidRPr="009B5B67">
        <w:rPr>
          <w:rFonts w:cs="Arial"/>
          <w:szCs w:val="20"/>
          <w:shd w:val="clear" w:color="auto" w:fill="FFFFFF"/>
          <w:lang w:val="en-GB"/>
        </w:rPr>
        <w:t xml:space="preserve"> </w:t>
      </w:r>
      <w:r w:rsidRPr="009B5B67">
        <w:rPr>
          <w:rFonts w:cs="Arial"/>
          <w:szCs w:val="20"/>
          <w:lang w:val="en-GB" w:bidi="hi-IN"/>
        </w:rPr>
        <w:t>Electricity consumption is very high, mostly due to the use of electricity for heating and a very low level of energy efficiency.</w:t>
      </w:r>
      <w:r w:rsidR="00D61835" w:rsidRPr="009B5B67">
        <w:rPr>
          <w:rFonts w:cs="Arial"/>
          <w:szCs w:val="20"/>
          <w:lang w:val="en-GB" w:bidi="hi-IN"/>
        </w:rPr>
        <w:t xml:space="preserve"> </w:t>
      </w:r>
    </w:p>
    <w:p w14:paraId="4CBE2FC6" w14:textId="77777777" w:rsidR="00F33550" w:rsidRPr="009B5B67" w:rsidRDefault="007447CB" w:rsidP="00B059DC">
      <w:pPr>
        <w:spacing w:line="276" w:lineRule="auto"/>
        <w:rPr>
          <w:rFonts w:cstheme="majorHAnsi"/>
          <w:szCs w:val="20"/>
          <w:lang w:val="en-GB"/>
        </w:rPr>
      </w:pPr>
      <w:r w:rsidRPr="009B5B67">
        <w:rPr>
          <w:szCs w:val="20"/>
          <w:lang w:val="en-GB"/>
        </w:rPr>
        <w:t>The mean annual temperature increase</w:t>
      </w:r>
      <w:r w:rsidR="00A36597" w:rsidRPr="009B5B67">
        <w:rPr>
          <w:szCs w:val="20"/>
          <w:lang w:val="en-GB"/>
        </w:rPr>
        <w:t>d</w:t>
      </w:r>
      <w:r w:rsidRPr="009B5B67">
        <w:rPr>
          <w:szCs w:val="20"/>
          <w:lang w:val="en-GB"/>
        </w:rPr>
        <w:t xml:space="preserve"> in the period 2008-2017 </w:t>
      </w:r>
      <w:r w:rsidRPr="009B5B67">
        <w:rPr>
          <w:rFonts w:cstheme="majorHAnsi"/>
          <w:szCs w:val="20"/>
          <w:lang w:val="en-GB"/>
        </w:rPr>
        <w:t xml:space="preserve">relative to the reference period 1961-1990 </w:t>
      </w:r>
      <w:r w:rsidR="00A36597" w:rsidRPr="009B5B67">
        <w:rPr>
          <w:rFonts w:cstheme="majorHAnsi"/>
          <w:szCs w:val="20"/>
          <w:lang w:val="en-GB"/>
        </w:rPr>
        <w:t>by</w:t>
      </w:r>
      <w:r w:rsidRPr="009B5B67">
        <w:rPr>
          <w:rFonts w:cstheme="majorHAnsi"/>
          <w:szCs w:val="20"/>
          <w:lang w:val="en-GB"/>
        </w:rPr>
        <w:t xml:space="preserve"> 1.5°C, and in the western and eastern parts of the country </w:t>
      </w:r>
      <w:r w:rsidR="00FE38BD" w:rsidRPr="009B5B67">
        <w:rPr>
          <w:rFonts w:cstheme="majorHAnsi"/>
          <w:szCs w:val="20"/>
          <w:lang w:val="en-GB"/>
        </w:rPr>
        <w:t xml:space="preserve">exceeded 2°C. Such trend will continue </w:t>
      </w:r>
      <w:r w:rsidR="00561C38" w:rsidRPr="009B5B67">
        <w:rPr>
          <w:rFonts w:cstheme="majorHAnsi"/>
          <w:szCs w:val="20"/>
          <w:lang w:val="en-GB"/>
        </w:rPr>
        <w:t xml:space="preserve">up to 2-4.3°C </w:t>
      </w:r>
      <w:r w:rsidR="00FE38BD" w:rsidRPr="009B5B67">
        <w:rPr>
          <w:rFonts w:cstheme="majorHAnsi"/>
          <w:szCs w:val="20"/>
          <w:lang w:val="en-GB"/>
        </w:rPr>
        <w:t>until the end</w:t>
      </w:r>
      <w:r w:rsidR="00561C38" w:rsidRPr="009B5B67">
        <w:rPr>
          <w:rFonts w:cstheme="majorHAnsi"/>
          <w:szCs w:val="20"/>
          <w:lang w:val="en-GB"/>
        </w:rPr>
        <w:t xml:space="preserve"> of the century. T</w:t>
      </w:r>
      <w:r w:rsidRPr="009B5B67">
        <w:rPr>
          <w:rFonts w:cstheme="majorHAnsi"/>
          <w:szCs w:val="20"/>
          <w:lang w:val="en-GB"/>
        </w:rPr>
        <w:t>he annual precipitation increased up to 10%, and in the southern part of the country up to 20% re</w:t>
      </w:r>
      <w:r w:rsidR="007679E1" w:rsidRPr="009B5B67">
        <w:rPr>
          <w:rFonts w:cstheme="majorHAnsi"/>
          <w:szCs w:val="20"/>
          <w:lang w:val="en-GB"/>
        </w:rPr>
        <w:t>lative to the reference period</w:t>
      </w:r>
      <w:r w:rsidRPr="009B5B67">
        <w:rPr>
          <w:szCs w:val="20"/>
          <w:vertAlign w:val="superscript"/>
          <w:lang w:val="en-GB"/>
        </w:rPr>
        <w:t>15</w:t>
      </w:r>
      <w:r w:rsidRPr="009B5B67">
        <w:rPr>
          <w:rFonts w:cstheme="majorHAnsi"/>
          <w:szCs w:val="20"/>
          <w:lang w:val="en-GB"/>
        </w:rPr>
        <w:t xml:space="preserve"> </w:t>
      </w:r>
      <w:proofErr w:type="gramStart"/>
      <w:r w:rsidR="00767771" w:rsidRPr="009B5B67">
        <w:rPr>
          <w:rFonts w:cstheme="majorHAnsi"/>
          <w:lang w:val="en-GB"/>
        </w:rPr>
        <w:t>The</w:t>
      </w:r>
      <w:proofErr w:type="gramEnd"/>
      <w:r w:rsidR="00767771" w:rsidRPr="009B5B67">
        <w:rPr>
          <w:rFonts w:cstheme="majorHAnsi"/>
          <w:lang w:val="en-GB"/>
        </w:rPr>
        <w:t xml:space="preserve"> change in the mean annual precipitation will not be as pronounced as in the case of temperature change, but will be characterized by interannual precipitation redistribution, while </w:t>
      </w:r>
      <w:r w:rsidR="00767771" w:rsidRPr="009B5B67">
        <w:rPr>
          <w:rFonts w:cstheme="majorHAnsi"/>
          <w:szCs w:val="20"/>
          <w:lang w:val="en-GB"/>
        </w:rPr>
        <w:t xml:space="preserve">during the summer season, the deficit of rainfall will be strongest. </w:t>
      </w:r>
    </w:p>
    <w:p w14:paraId="53C2B67F" w14:textId="6AAEDB2C" w:rsidR="00F33550" w:rsidRPr="009B5B67" w:rsidRDefault="007F413B" w:rsidP="00F33550">
      <w:pPr>
        <w:rPr>
          <w:lang w:val="en-GB"/>
        </w:rPr>
      </w:pPr>
      <w:r w:rsidRPr="009B5B67">
        <w:rPr>
          <w:rFonts w:cs="Arial"/>
          <w:szCs w:val="20"/>
          <w:lang w:val="en-GB" w:bidi="hi-IN"/>
        </w:rPr>
        <w:t>Vulnerab</w:t>
      </w:r>
      <w:r w:rsidR="00790A00">
        <w:rPr>
          <w:rFonts w:cs="Arial"/>
          <w:szCs w:val="20"/>
          <w:lang w:val="en-GB" w:bidi="hi-IN"/>
        </w:rPr>
        <w:t>i</w:t>
      </w:r>
      <w:r w:rsidRPr="009B5B67">
        <w:rPr>
          <w:rFonts w:cs="Arial"/>
          <w:szCs w:val="20"/>
          <w:lang w:val="en-GB" w:bidi="hi-IN"/>
        </w:rPr>
        <w:t>l</w:t>
      </w:r>
      <w:r w:rsidR="000013F1" w:rsidRPr="009B5B67">
        <w:rPr>
          <w:rFonts w:cs="Arial"/>
          <w:szCs w:val="20"/>
          <w:lang w:val="en-GB" w:bidi="hi-IN"/>
        </w:rPr>
        <w:t>ity</w:t>
      </w:r>
      <w:r w:rsidRPr="009B5B67">
        <w:rPr>
          <w:rFonts w:cs="Arial"/>
          <w:szCs w:val="20"/>
          <w:lang w:val="en-GB" w:bidi="hi-IN"/>
        </w:rPr>
        <w:t xml:space="preserve"> of water resources, agriculture, forestry, incl</w:t>
      </w:r>
      <w:r w:rsidR="00790A00">
        <w:rPr>
          <w:rFonts w:cs="Arial"/>
          <w:szCs w:val="20"/>
          <w:lang w:val="en-GB" w:bidi="hi-IN"/>
        </w:rPr>
        <w:t>u</w:t>
      </w:r>
      <w:r w:rsidRPr="009B5B67">
        <w:rPr>
          <w:rFonts w:cs="Arial"/>
          <w:szCs w:val="20"/>
          <w:lang w:val="en-GB" w:bidi="hi-IN"/>
        </w:rPr>
        <w:t>ding bi</w:t>
      </w:r>
      <w:r w:rsidR="00790A00">
        <w:rPr>
          <w:rFonts w:cs="Arial"/>
          <w:szCs w:val="20"/>
          <w:lang w:val="en-GB" w:bidi="hi-IN"/>
        </w:rPr>
        <w:t>o</w:t>
      </w:r>
      <w:r w:rsidRPr="009B5B67">
        <w:rPr>
          <w:rFonts w:cs="Arial"/>
          <w:szCs w:val="20"/>
          <w:lang w:val="en-GB" w:bidi="hi-IN"/>
        </w:rPr>
        <w:t>diversity</w:t>
      </w:r>
      <w:r w:rsidR="000013F1" w:rsidRPr="009B5B67">
        <w:rPr>
          <w:rFonts w:cs="Arial"/>
          <w:szCs w:val="20"/>
          <w:lang w:val="en-GB" w:bidi="hi-IN"/>
        </w:rPr>
        <w:t xml:space="preserve"> and healt</w:t>
      </w:r>
      <w:r w:rsidR="00790A00">
        <w:rPr>
          <w:rFonts w:cs="Arial"/>
          <w:szCs w:val="20"/>
          <w:lang w:val="en-GB" w:bidi="hi-IN"/>
        </w:rPr>
        <w:t>h</w:t>
      </w:r>
      <w:r w:rsidR="000013F1" w:rsidRPr="009B5B67">
        <w:rPr>
          <w:rFonts w:cs="Arial"/>
          <w:szCs w:val="20"/>
          <w:lang w:val="en-GB" w:bidi="hi-IN"/>
        </w:rPr>
        <w:t xml:space="preserve"> is</w:t>
      </w:r>
      <w:r w:rsidRPr="009B5B67">
        <w:rPr>
          <w:rFonts w:cs="Arial"/>
          <w:szCs w:val="20"/>
          <w:lang w:val="en-GB" w:bidi="hi-IN"/>
        </w:rPr>
        <w:t xml:space="preserve"> already confirmed, while </w:t>
      </w:r>
      <w:r w:rsidR="00790A00" w:rsidRPr="009B5B67">
        <w:rPr>
          <w:rFonts w:cs="Arial"/>
          <w:szCs w:val="20"/>
          <w:lang w:val="en-GB" w:bidi="hi-IN"/>
        </w:rPr>
        <w:t>experi</w:t>
      </w:r>
      <w:r w:rsidR="00790A00">
        <w:rPr>
          <w:rFonts w:cs="Arial"/>
          <w:szCs w:val="20"/>
          <w:lang w:val="en-GB" w:bidi="hi-IN"/>
        </w:rPr>
        <w:t>en</w:t>
      </w:r>
      <w:r w:rsidR="00790A00" w:rsidRPr="009B5B67">
        <w:rPr>
          <w:rFonts w:cs="Arial"/>
          <w:szCs w:val="20"/>
          <w:lang w:val="en-GB" w:bidi="hi-IN"/>
        </w:rPr>
        <w:t>ce</w:t>
      </w:r>
      <w:r w:rsidRPr="009B5B67">
        <w:rPr>
          <w:rFonts w:cs="Arial"/>
          <w:szCs w:val="20"/>
          <w:lang w:val="en-GB" w:bidi="hi-IN"/>
        </w:rPr>
        <w:t xml:space="preserve"> in the last few decades shows neg</w:t>
      </w:r>
      <w:r w:rsidR="00767771" w:rsidRPr="009B5B67">
        <w:rPr>
          <w:rFonts w:cs="Arial"/>
          <w:szCs w:val="20"/>
          <w:lang w:val="en-GB" w:bidi="hi-IN"/>
        </w:rPr>
        <w:t>a</w:t>
      </w:r>
      <w:r w:rsidRPr="009B5B67">
        <w:rPr>
          <w:rFonts w:cs="Arial"/>
          <w:szCs w:val="20"/>
          <w:lang w:val="en-GB" w:bidi="hi-IN"/>
        </w:rPr>
        <w:t>tive effects of climate cha</w:t>
      </w:r>
      <w:r w:rsidR="007757C6">
        <w:rPr>
          <w:rFonts w:cs="Arial"/>
          <w:szCs w:val="20"/>
          <w:lang w:val="en-GB" w:bidi="hi-IN"/>
        </w:rPr>
        <w:t>n</w:t>
      </w:r>
      <w:r w:rsidRPr="009B5B67">
        <w:rPr>
          <w:rFonts w:cs="Arial"/>
          <w:szCs w:val="20"/>
          <w:lang w:val="en-GB" w:bidi="hi-IN"/>
        </w:rPr>
        <w:t>ge to en</w:t>
      </w:r>
      <w:r w:rsidR="00790A00">
        <w:rPr>
          <w:rFonts w:cs="Arial"/>
          <w:szCs w:val="20"/>
          <w:lang w:val="en-GB" w:bidi="hi-IN"/>
        </w:rPr>
        <w:t>ergy, infrastru</w:t>
      </w:r>
      <w:r w:rsidR="000013F1" w:rsidRPr="009B5B67">
        <w:rPr>
          <w:rFonts w:cs="Arial"/>
          <w:szCs w:val="20"/>
          <w:lang w:val="en-GB" w:bidi="hi-IN"/>
        </w:rPr>
        <w:t xml:space="preserve">cture, </w:t>
      </w:r>
      <w:proofErr w:type="gramStart"/>
      <w:r w:rsidR="000013F1" w:rsidRPr="009B5B67">
        <w:rPr>
          <w:rFonts w:cs="Arial"/>
          <w:szCs w:val="20"/>
          <w:lang w:val="en-GB" w:bidi="hi-IN"/>
        </w:rPr>
        <w:t>transport</w:t>
      </w:r>
      <w:proofErr w:type="gramEnd"/>
      <w:r w:rsidRPr="009B5B67">
        <w:rPr>
          <w:rFonts w:cs="Arial"/>
          <w:szCs w:val="20"/>
          <w:lang w:val="en-GB" w:bidi="hi-IN"/>
        </w:rPr>
        <w:t xml:space="preserve"> and </w:t>
      </w:r>
      <w:r w:rsidR="000013F1" w:rsidRPr="009B5B67">
        <w:rPr>
          <w:rFonts w:cs="Arial"/>
          <w:szCs w:val="20"/>
          <w:lang w:val="en-GB" w:bidi="hi-IN"/>
        </w:rPr>
        <w:t xml:space="preserve">Serbian </w:t>
      </w:r>
      <w:r w:rsidRPr="009B5B67">
        <w:rPr>
          <w:rFonts w:cs="Arial"/>
          <w:szCs w:val="20"/>
          <w:lang w:val="en-GB" w:bidi="hi-IN"/>
        </w:rPr>
        <w:t>economy</w:t>
      </w:r>
      <w:r w:rsidR="000013F1" w:rsidRPr="009B5B67">
        <w:rPr>
          <w:rFonts w:cs="Arial"/>
          <w:szCs w:val="20"/>
          <w:lang w:val="en-GB" w:bidi="hi-IN"/>
        </w:rPr>
        <w:t xml:space="preserve"> in a whole</w:t>
      </w:r>
      <w:r w:rsidRPr="009B5B67">
        <w:rPr>
          <w:rFonts w:cs="Arial"/>
          <w:szCs w:val="20"/>
          <w:lang w:val="en-GB" w:bidi="hi-IN"/>
        </w:rPr>
        <w:t xml:space="preserve">. </w:t>
      </w:r>
      <w:r w:rsidR="00F33550" w:rsidRPr="009B5B67">
        <w:rPr>
          <w:rFonts w:cs="Arial"/>
          <w:szCs w:val="20"/>
          <w:lang w:val="en-GB" w:bidi="hi-IN"/>
        </w:rPr>
        <w:t xml:space="preserve">In addition, </w:t>
      </w:r>
      <w:r w:rsidR="00F33550" w:rsidRPr="009B5B67">
        <w:rPr>
          <w:rFonts w:cstheme="majorHAnsi"/>
          <w:szCs w:val="20"/>
          <w:lang w:val="en-GB"/>
        </w:rPr>
        <w:t xml:space="preserve">COVID-19 pandemic impacts social aspects of Serbian society, implying job loss of </w:t>
      </w:r>
      <w:r w:rsidR="00F33550" w:rsidRPr="009B5B67">
        <w:rPr>
          <w:lang w:val="en-GB"/>
        </w:rPr>
        <w:t>34,700 women and net increase of 1,500 more jobs for men in the second quarter of 2020</w:t>
      </w:r>
      <w:r w:rsidR="00F33550" w:rsidRPr="009B5B67">
        <w:rPr>
          <w:rStyle w:val="FootnoteReference"/>
          <w:lang w:val="en-GB"/>
        </w:rPr>
        <w:footnoteReference w:id="2"/>
      </w:r>
      <w:r w:rsidR="00F33550" w:rsidRPr="009B5B67">
        <w:rPr>
          <w:lang w:val="en-GB"/>
        </w:rPr>
        <w:t>.</w:t>
      </w:r>
    </w:p>
    <w:p w14:paraId="5744CF0E" w14:textId="5ADDCA09" w:rsidR="007F413B" w:rsidRPr="009B5B67" w:rsidRDefault="001C411E" w:rsidP="00B059DC">
      <w:pPr>
        <w:spacing w:line="276" w:lineRule="auto"/>
        <w:rPr>
          <w:rFonts w:cs="Arial"/>
          <w:szCs w:val="20"/>
          <w:lang w:val="en-GB" w:bidi="hi-IN"/>
        </w:rPr>
      </w:pPr>
      <w:r w:rsidRPr="009B5B67">
        <w:rPr>
          <w:rFonts w:cs="Arial"/>
          <w:szCs w:val="20"/>
          <w:lang w:val="en-GB" w:bidi="hi-IN"/>
        </w:rPr>
        <w:t>Further det</w:t>
      </w:r>
      <w:r w:rsidR="00790A00">
        <w:rPr>
          <w:rFonts w:cs="Arial"/>
          <w:szCs w:val="20"/>
          <w:lang w:val="en-GB" w:bidi="hi-IN"/>
        </w:rPr>
        <w:t>a</w:t>
      </w:r>
      <w:r w:rsidRPr="009B5B67">
        <w:rPr>
          <w:rFonts w:cs="Arial"/>
          <w:szCs w:val="20"/>
          <w:lang w:val="en-GB" w:bidi="hi-IN"/>
        </w:rPr>
        <w:t xml:space="preserve">iled information necessary for clarity, transparency and understanding (ICTU) of the Nationally Determined Contribution (NDC) could be found </w:t>
      </w:r>
      <w:r w:rsidR="0018114D" w:rsidRPr="009B5B67">
        <w:rPr>
          <w:rFonts w:cs="Arial"/>
          <w:szCs w:val="20"/>
          <w:lang w:val="en-GB" w:bidi="hi-IN"/>
        </w:rPr>
        <w:t>at</w:t>
      </w:r>
      <w:r w:rsidRPr="009B5B67">
        <w:rPr>
          <w:rFonts w:cs="Arial"/>
          <w:szCs w:val="20"/>
          <w:lang w:val="en-GB" w:bidi="hi-IN"/>
        </w:rPr>
        <w:t xml:space="preserve">: </w:t>
      </w:r>
    </w:p>
    <w:p w14:paraId="00336C90" w14:textId="38DAB33C" w:rsidR="00D6464A" w:rsidRPr="009B5B67" w:rsidRDefault="00D6464A" w:rsidP="00D6464A">
      <w:pPr>
        <w:rPr>
          <w:rFonts w:cstheme="majorHAnsi"/>
          <w:szCs w:val="20"/>
          <w:lang w:val="en-GB"/>
        </w:rPr>
      </w:pPr>
    </w:p>
    <w:p w14:paraId="3836219E" w14:textId="3B32A8BB" w:rsidR="00990EDE" w:rsidRPr="009B5B67" w:rsidRDefault="00503AE8" w:rsidP="007073C2">
      <w:pPr>
        <w:spacing w:before="120"/>
        <w:rPr>
          <w:lang w:val="en-GB"/>
        </w:rPr>
      </w:pPr>
      <w:r w:rsidRPr="009B5B67">
        <w:rPr>
          <w:lang w:val="en-GB"/>
        </w:rPr>
        <w:lastRenderedPageBreak/>
        <w:t xml:space="preserve">Following the decisions 1/CP.21, 4/CMA.1, 9/CMA.1, 18/CMA.1, the following </w:t>
      </w:r>
      <w:r w:rsidR="000A663E" w:rsidRPr="009B5B67">
        <w:rPr>
          <w:lang w:val="en-GB"/>
        </w:rPr>
        <w:t xml:space="preserve">NDC related </w:t>
      </w:r>
      <w:r w:rsidRPr="009B5B67">
        <w:rPr>
          <w:lang w:val="en-GB"/>
        </w:rPr>
        <w:t xml:space="preserve">quantifiable </w:t>
      </w:r>
      <w:r w:rsidR="000A663E" w:rsidRPr="009B5B67">
        <w:rPr>
          <w:lang w:val="en-GB"/>
        </w:rPr>
        <w:t>information is hereby submitted:</w:t>
      </w:r>
    </w:p>
    <w:p w14:paraId="4E9E663A" w14:textId="77777777" w:rsidR="00503AE8" w:rsidRPr="009B5B67" w:rsidRDefault="00503AE8" w:rsidP="00FA40D9">
      <w:pPr>
        <w:pStyle w:val="BodyText"/>
        <w:spacing w:after="0" w:line="240" w:lineRule="auto"/>
        <w:rPr>
          <w:rFonts w:ascii="Arial" w:hAnsi="Arial" w:cs="Arial"/>
          <w:b/>
          <w:sz w:val="16"/>
          <w:szCs w:val="16"/>
          <w:lang w:val="en-GB"/>
        </w:rPr>
      </w:pPr>
    </w:p>
    <w:tbl>
      <w:tblPr>
        <w:tblStyle w:val="TableGrid"/>
        <w:tblW w:w="10065" w:type="dxa"/>
        <w:tblInd w:w="-5" w:type="dxa"/>
        <w:tblCellMar>
          <w:top w:w="108" w:type="dxa"/>
          <w:bottom w:w="108" w:type="dxa"/>
        </w:tblCellMar>
        <w:tblLook w:val="04A0" w:firstRow="1" w:lastRow="0" w:firstColumn="1" w:lastColumn="0" w:noHBand="0" w:noVBand="1"/>
      </w:tblPr>
      <w:tblGrid>
        <w:gridCol w:w="3686"/>
        <w:gridCol w:w="6379"/>
      </w:tblGrid>
      <w:tr w:rsidR="00503AE8" w:rsidRPr="00080666" w14:paraId="685C2923" w14:textId="77777777" w:rsidTr="00195CF2">
        <w:trPr>
          <w:trHeight w:val="24"/>
          <w:tblHeader/>
        </w:trPr>
        <w:tc>
          <w:tcPr>
            <w:tcW w:w="10065" w:type="dxa"/>
            <w:gridSpan w:val="2"/>
            <w:shd w:val="clear" w:color="auto" w:fill="D9E2F3" w:themeFill="accent1" w:themeFillTint="33"/>
          </w:tcPr>
          <w:p w14:paraId="2DC48CD9" w14:textId="77777777" w:rsidR="00503AE8" w:rsidRPr="009B5B67" w:rsidRDefault="00503AE8" w:rsidP="00CD5F0E">
            <w:pPr>
              <w:pStyle w:val="Heading6"/>
              <w:spacing w:after="0"/>
              <w:rPr>
                <w:lang w:val="en-GB"/>
              </w:rPr>
            </w:pPr>
            <w:bookmarkStart w:id="17" w:name="_Toc56411144"/>
            <w:r w:rsidRPr="009B5B67">
              <w:rPr>
                <w:lang w:val="en-GB"/>
              </w:rPr>
              <w:t>1. Quantifiable information on the reference point (including, as appropriate, a base year)</w:t>
            </w:r>
            <w:bookmarkEnd w:id="17"/>
          </w:p>
        </w:tc>
      </w:tr>
      <w:tr w:rsidR="00503AE8" w:rsidRPr="00080666" w14:paraId="56E4DEE6" w14:textId="77777777" w:rsidTr="00195CF2">
        <w:trPr>
          <w:trHeight w:val="1108"/>
        </w:trPr>
        <w:tc>
          <w:tcPr>
            <w:tcW w:w="3686" w:type="dxa"/>
          </w:tcPr>
          <w:p w14:paraId="32A3086B" w14:textId="77777777" w:rsidR="00503AE8" w:rsidRPr="009B5B67" w:rsidRDefault="00503AE8" w:rsidP="00503AE8">
            <w:pPr>
              <w:tabs>
                <w:tab w:val="left" w:pos="2401"/>
                <w:tab w:val="left" w:pos="2402"/>
              </w:tabs>
              <w:ind w:left="322" w:hanging="322"/>
              <w:rPr>
                <w:rFonts w:cstheme="minorHAnsi"/>
                <w:szCs w:val="20"/>
                <w:lang w:val="en-GB"/>
              </w:rPr>
            </w:pPr>
            <w:r w:rsidRPr="009B5B67">
              <w:rPr>
                <w:rFonts w:cstheme="minorHAnsi"/>
                <w:szCs w:val="20"/>
                <w:lang w:val="en-GB"/>
              </w:rPr>
              <w:t>(a)</w:t>
            </w:r>
            <w:r w:rsidRPr="009B5B67">
              <w:rPr>
                <w:rFonts w:cstheme="minorHAnsi"/>
                <w:szCs w:val="20"/>
                <w:lang w:val="en-GB"/>
              </w:rPr>
              <w:tab/>
              <w:t>Reference year(s), base year(s), reference period(s) or other starting</w:t>
            </w:r>
            <w:r w:rsidRPr="009B5B67">
              <w:rPr>
                <w:rFonts w:cstheme="minorHAnsi"/>
                <w:spacing w:val="-8"/>
                <w:szCs w:val="20"/>
                <w:lang w:val="en-GB"/>
              </w:rPr>
              <w:t xml:space="preserve"> </w:t>
            </w:r>
            <w:r w:rsidRPr="009B5B67">
              <w:rPr>
                <w:rFonts w:cstheme="minorHAnsi"/>
                <w:szCs w:val="20"/>
                <w:lang w:val="en-GB"/>
              </w:rPr>
              <w:t>point(s)</w:t>
            </w:r>
          </w:p>
        </w:tc>
        <w:tc>
          <w:tcPr>
            <w:tcW w:w="6379" w:type="dxa"/>
          </w:tcPr>
          <w:p w14:paraId="3386CF82" w14:textId="133CA68F" w:rsidR="00503AE8" w:rsidRPr="009B5B67" w:rsidRDefault="00503AE8" w:rsidP="00FA40D9">
            <w:pPr>
              <w:tabs>
                <w:tab w:val="left" w:pos="2401"/>
                <w:tab w:val="left" w:pos="2402"/>
              </w:tabs>
              <w:spacing w:after="0"/>
              <w:ind w:left="181" w:hanging="181"/>
              <w:rPr>
                <w:rFonts w:cstheme="minorHAnsi"/>
                <w:szCs w:val="20"/>
                <w:lang w:val="en-GB"/>
              </w:rPr>
            </w:pPr>
            <w:r w:rsidRPr="009B5B67">
              <w:rPr>
                <w:rFonts w:cstheme="minorHAnsi"/>
                <w:b/>
                <w:szCs w:val="20"/>
                <w:lang w:val="en-GB"/>
              </w:rPr>
              <w:t xml:space="preserve">Base </w:t>
            </w:r>
            <w:r w:rsidR="009E56ED" w:rsidRPr="009B5B67">
              <w:rPr>
                <w:rFonts w:cstheme="minorHAnsi"/>
                <w:b/>
                <w:szCs w:val="20"/>
                <w:lang w:val="en-GB"/>
              </w:rPr>
              <w:t>year</w:t>
            </w:r>
            <w:r w:rsidRPr="009B5B67">
              <w:rPr>
                <w:rFonts w:cstheme="minorHAnsi"/>
                <w:b/>
                <w:szCs w:val="20"/>
                <w:lang w:val="en-GB"/>
              </w:rPr>
              <w:t xml:space="preserve">: </w:t>
            </w:r>
            <w:r w:rsidRPr="009B5B67">
              <w:rPr>
                <w:rFonts w:cstheme="minorHAnsi"/>
                <w:szCs w:val="20"/>
                <w:lang w:val="en-GB"/>
              </w:rPr>
              <w:t>2010</w:t>
            </w:r>
            <w:r w:rsidRPr="009B5B67">
              <w:rPr>
                <w:rFonts w:cstheme="minorHAnsi"/>
                <w:szCs w:val="20"/>
                <w:lang w:val="en-GB"/>
              </w:rPr>
              <w:tab/>
            </w:r>
          </w:p>
          <w:p w14:paraId="6E58060B" w14:textId="098621E1" w:rsidR="00013E78" w:rsidRPr="009B5B67" w:rsidRDefault="009D1308" w:rsidP="00FA40D9">
            <w:pPr>
              <w:tabs>
                <w:tab w:val="left" w:pos="2401"/>
                <w:tab w:val="left" w:pos="2402"/>
              </w:tabs>
              <w:spacing w:after="0"/>
              <w:ind w:left="181" w:hanging="11"/>
              <w:rPr>
                <w:rFonts w:cstheme="minorHAnsi"/>
                <w:szCs w:val="20"/>
                <w:lang w:val="en-GB"/>
              </w:rPr>
            </w:pPr>
            <w:r w:rsidRPr="009B5B67">
              <w:rPr>
                <w:rFonts w:cstheme="minorHAnsi"/>
                <w:szCs w:val="20"/>
                <w:lang w:val="en-GB"/>
              </w:rPr>
              <w:t xml:space="preserve">During the revision of the first NDC, the recalculation of the GHG inventory and QA/QC process identified the 2010 as the base year. </w:t>
            </w:r>
            <w:proofErr w:type="gramStart"/>
            <w:r w:rsidR="0018114D" w:rsidRPr="009B5B67">
              <w:rPr>
                <w:rFonts w:cstheme="minorHAnsi"/>
                <w:szCs w:val="20"/>
                <w:lang w:val="en-GB"/>
              </w:rPr>
              <w:t>In order to</w:t>
            </w:r>
            <w:proofErr w:type="gramEnd"/>
            <w:r w:rsidR="0018114D" w:rsidRPr="009B5B67">
              <w:rPr>
                <w:rFonts w:cstheme="minorHAnsi"/>
                <w:szCs w:val="20"/>
                <w:lang w:val="en-GB"/>
              </w:rPr>
              <w:t xml:space="preserve"> compare efforts between the first and the </w:t>
            </w:r>
            <w:r w:rsidRPr="009B5B67">
              <w:rPr>
                <w:rFonts w:cstheme="minorHAnsi"/>
                <w:szCs w:val="20"/>
                <w:lang w:val="en-GB"/>
              </w:rPr>
              <w:t>second</w:t>
            </w:r>
            <w:r w:rsidR="0018114D" w:rsidRPr="009B5B67">
              <w:rPr>
                <w:rFonts w:cstheme="minorHAnsi"/>
                <w:szCs w:val="20"/>
                <w:lang w:val="en-GB"/>
              </w:rPr>
              <w:t xml:space="preserve"> NDC the GHG emission levels were compared to those in 1990 and also presented. </w:t>
            </w:r>
          </w:p>
          <w:p w14:paraId="4A711A0F" w14:textId="2AB046CB" w:rsidR="00554D32" w:rsidRPr="009B5B67" w:rsidRDefault="00554D32" w:rsidP="009E668E">
            <w:pPr>
              <w:tabs>
                <w:tab w:val="left" w:pos="2401"/>
                <w:tab w:val="left" w:pos="2402"/>
              </w:tabs>
              <w:spacing w:after="0"/>
              <w:ind w:left="181" w:hanging="11"/>
              <w:rPr>
                <w:rFonts w:cstheme="minorHAnsi"/>
                <w:szCs w:val="20"/>
                <w:lang w:val="en-GB"/>
              </w:rPr>
            </w:pPr>
            <w:r w:rsidRPr="009B5B67">
              <w:rPr>
                <w:rFonts w:cstheme="minorHAnsi"/>
                <w:szCs w:val="20"/>
                <w:lang w:val="en-GB"/>
              </w:rPr>
              <w:t>GHG emissions total in 2010 was 62,650 Gg CO</w:t>
            </w:r>
            <w:r w:rsidRPr="009B5B67">
              <w:rPr>
                <w:rFonts w:cstheme="minorHAnsi"/>
                <w:szCs w:val="20"/>
                <w:vertAlign w:val="subscript"/>
                <w:lang w:val="en-GB"/>
              </w:rPr>
              <w:t>2</w:t>
            </w:r>
            <w:r w:rsidRPr="009B5B67">
              <w:rPr>
                <w:rFonts w:cstheme="minorHAnsi"/>
                <w:szCs w:val="20"/>
                <w:lang w:val="en-GB"/>
              </w:rPr>
              <w:t xml:space="preserve">eq as presented in the </w:t>
            </w:r>
            <w:r w:rsidR="009E668E" w:rsidRPr="009B5B67">
              <w:rPr>
                <w:rFonts w:cstheme="minorHAnsi"/>
                <w:szCs w:val="20"/>
                <w:lang w:val="en-GB"/>
              </w:rPr>
              <w:t xml:space="preserve">Second </w:t>
            </w:r>
            <w:r w:rsidRPr="009B5B67">
              <w:rPr>
                <w:rFonts w:cstheme="minorHAnsi"/>
                <w:szCs w:val="20"/>
                <w:lang w:val="en-GB"/>
              </w:rPr>
              <w:t>BUR</w:t>
            </w:r>
            <w:r w:rsidR="009E668E" w:rsidRPr="009B5B67">
              <w:rPr>
                <w:rFonts w:cstheme="minorHAnsi"/>
                <w:szCs w:val="20"/>
                <w:lang w:val="en-GB"/>
              </w:rPr>
              <w:t xml:space="preserve"> and </w:t>
            </w:r>
            <w:r w:rsidR="009D1308" w:rsidRPr="009B5B67">
              <w:rPr>
                <w:rFonts w:cstheme="minorHAnsi"/>
                <w:szCs w:val="20"/>
                <w:lang w:val="en-GB"/>
              </w:rPr>
              <w:t xml:space="preserve">subject to </w:t>
            </w:r>
            <w:r w:rsidR="009E668E" w:rsidRPr="009B5B67">
              <w:rPr>
                <w:rFonts w:cstheme="minorHAnsi"/>
                <w:szCs w:val="20"/>
                <w:lang w:val="en-GB"/>
              </w:rPr>
              <w:t xml:space="preserve">change due to </w:t>
            </w:r>
            <w:r w:rsidR="004219EF" w:rsidRPr="009B5B67">
              <w:rPr>
                <w:rFonts w:cstheme="minorHAnsi"/>
                <w:szCs w:val="20"/>
                <w:lang w:val="en-GB"/>
              </w:rPr>
              <w:t>inventories</w:t>
            </w:r>
            <w:r w:rsidR="004219EF">
              <w:rPr>
                <w:rFonts w:cstheme="minorHAnsi"/>
                <w:szCs w:val="20"/>
                <w:lang w:val="en-GB"/>
              </w:rPr>
              <w:t>’</w:t>
            </w:r>
            <w:r w:rsidR="009E668E" w:rsidRPr="009B5B67">
              <w:rPr>
                <w:rFonts w:cstheme="minorHAnsi"/>
                <w:szCs w:val="20"/>
                <w:lang w:val="en-GB"/>
              </w:rPr>
              <w:t xml:space="preserve"> </w:t>
            </w:r>
            <w:r w:rsidR="004219EF" w:rsidRPr="009B5B67">
              <w:rPr>
                <w:rFonts w:cstheme="minorHAnsi"/>
                <w:szCs w:val="20"/>
                <w:lang w:val="en-GB"/>
              </w:rPr>
              <w:t>recalculation</w:t>
            </w:r>
            <w:r w:rsidR="009E668E" w:rsidRPr="009B5B67">
              <w:rPr>
                <w:rFonts w:cstheme="minorHAnsi"/>
                <w:szCs w:val="20"/>
                <w:lang w:val="en-GB"/>
              </w:rPr>
              <w:t xml:space="preserve">. </w:t>
            </w:r>
          </w:p>
          <w:p w14:paraId="20784A04" w14:textId="290DF9DD" w:rsidR="0004672C" w:rsidRPr="009B5B67" w:rsidRDefault="0004672C" w:rsidP="004638FF">
            <w:pPr>
              <w:tabs>
                <w:tab w:val="left" w:pos="2401"/>
                <w:tab w:val="left" w:pos="2402"/>
              </w:tabs>
              <w:spacing w:after="0"/>
              <w:ind w:left="181" w:hanging="11"/>
              <w:rPr>
                <w:sz w:val="16"/>
                <w:szCs w:val="16"/>
                <w:lang w:val="en-GB"/>
              </w:rPr>
            </w:pPr>
          </w:p>
          <w:p w14:paraId="15436E23" w14:textId="77777777" w:rsidR="00503AE8" w:rsidRPr="009B5B67" w:rsidRDefault="00503AE8" w:rsidP="00195CF2">
            <w:pPr>
              <w:tabs>
                <w:tab w:val="left" w:pos="2401"/>
                <w:tab w:val="left" w:pos="2402"/>
              </w:tabs>
              <w:spacing w:after="0"/>
              <w:rPr>
                <w:rFonts w:cstheme="minorHAnsi"/>
                <w:szCs w:val="20"/>
                <w:lang w:val="en-GB"/>
              </w:rPr>
            </w:pPr>
            <w:r w:rsidRPr="009B5B67">
              <w:rPr>
                <w:rFonts w:cstheme="minorHAnsi"/>
                <w:b/>
                <w:szCs w:val="20"/>
                <w:lang w:val="en-GB"/>
              </w:rPr>
              <w:t xml:space="preserve">Reference year of the projections: </w:t>
            </w:r>
            <w:r w:rsidRPr="009B5B67">
              <w:rPr>
                <w:rFonts w:cstheme="minorHAnsi"/>
                <w:szCs w:val="20"/>
                <w:lang w:val="en-GB"/>
              </w:rPr>
              <w:t>2015</w:t>
            </w:r>
          </w:p>
        </w:tc>
      </w:tr>
      <w:tr w:rsidR="00503AE8" w:rsidRPr="00080666" w14:paraId="4882389B" w14:textId="77777777" w:rsidTr="00195CF2">
        <w:trPr>
          <w:trHeight w:val="278"/>
        </w:trPr>
        <w:tc>
          <w:tcPr>
            <w:tcW w:w="3686" w:type="dxa"/>
          </w:tcPr>
          <w:p w14:paraId="351D523F" w14:textId="3785D4B1" w:rsidR="00503AE8" w:rsidRPr="009B5B67" w:rsidRDefault="00FF5594" w:rsidP="00503AE8">
            <w:pPr>
              <w:tabs>
                <w:tab w:val="left" w:pos="2402"/>
              </w:tabs>
              <w:ind w:left="322" w:hanging="322"/>
              <w:rPr>
                <w:rFonts w:cstheme="minorHAnsi"/>
                <w:szCs w:val="20"/>
                <w:lang w:val="en-GB"/>
              </w:rPr>
            </w:pPr>
            <w:r w:rsidRPr="009B5B67">
              <w:rPr>
                <w:rFonts w:cstheme="minorHAnsi"/>
                <w:szCs w:val="20"/>
                <w:lang w:val="en-GB"/>
              </w:rPr>
              <w:t>(b)</w:t>
            </w:r>
            <w:r w:rsidRPr="009B5B67">
              <w:rPr>
                <w:rFonts w:cstheme="minorHAnsi"/>
                <w:szCs w:val="20"/>
                <w:lang w:val="en-GB"/>
              </w:rPr>
              <w:tab/>
              <w:t>Quantifiable information on the reference indicators, their values in the reference year(s), base year(s), reference period(s) or other starting point(s), and, as applicable, in the target year;</w:t>
            </w:r>
          </w:p>
        </w:tc>
        <w:tc>
          <w:tcPr>
            <w:tcW w:w="6379" w:type="dxa"/>
          </w:tcPr>
          <w:p w14:paraId="40E912C7" w14:textId="7278B32C" w:rsidR="00503AE8" w:rsidRPr="009B5B67" w:rsidRDefault="00503AE8" w:rsidP="00FF5594">
            <w:pPr>
              <w:tabs>
                <w:tab w:val="left" w:pos="2402"/>
              </w:tabs>
              <w:spacing w:after="0"/>
              <w:rPr>
                <w:rFonts w:cstheme="minorHAnsi"/>
                <w:szCs w:val="20"/>
                <w:lang w:val="en-GB"/>
              </w:rPr>
            </w:pPr>
            <w:r w:rsidRPr="009B5B67">
              <w:rPr>
                <w:rFonts w:cstheme="minorHAnsi"/>
                <w:szCs w:val="20"/>
                <w:lang w:val="en-GB"/>
              </w:rPr>
              <w:t xml:space="preserve">Further </w:t>
            </w:r>
            <w:r w:rsidR="008C2162" w:rsidRPr="009B5B67">
              <w:rPr>
                <w:rFonts w:cstheme="minorHAnsi"/>
                <w:szCs w:val="20"/>
                <w:lang w:val="en-GB"/>
              </w:rPr>
              <w:t>q</w:t>
            </w:r>
            <w:r w:rsidRPr="009B5B67">
              <w:rPr>
                <w:rFonts w:cstheme="minorHAnsi"/>
                <w:szCs w:val="20"/>
                <w:lang w:val="en-GB"/>
              </w:rPr>
              <w:t xml:space="preserve">uantifiable information on the reference indicators </w:t>
            </w:r>
            <w:proofErr w:type="gramStart"/>
            <w:r w:rsidRPr="009B5B67">
              <w:rPr>
                <w:rFonts w:cstheme="minorHAnsi"/>
                <w:szCs w:val="20"/>
                <w:lang w:val="en-GB"/>
              </w:rPr>
              <w:t>are</w:t>
            </w:r>
            <w:proofErr w:type="gramEnd"/>
            <w:r w:rsidRPr="009B5B67">
              <w:rPr>
                <w:rFonts w:cstheme="minorHAnsi"/>
                <w:szCs w:val="20"/>
                <w:lang w:val="en-GB"/>
              </w:rPr>
              <w:t xml:space="preserve"> available in the </w:t>
            </w:r>
            <w:r w:rsidR="00FF5594" w:rsidRPr="009B5B67">
              <w:rPr>
                <w:rFonts w:cstheme="minorHAnsi"/>
                <w:b/>
                <w:szCs w:val="20"/>
                <w:lang w:val="en-GB"/>
              </w:rPr>
              <w:t xml:space="preserve">National GHG Inventories </w:t>
            </w:r>
          </w:p>
        </w:tc>
      </w:tr>
      <w:tr w:rsidR="00503AE8" w:rsidRPr="009B5B67" w14:paraId="1DDF30F5" w14:textId="77777777" w:rsidTr="00195CF2">
        <w:trPr>
          <w:trHeight w:val="20"/>
        </w:trPr>
        <w:tc>
          <w:tcPr>
            <w:tcW w:w="3686" w:type="dxa"/>
            <w:tcMar>
              <w:right w:w="57" w:type="dxa"/>
            </w:tcMar>
          </w:tcPr>
          <w:p w14:paraId="46C263C1" w14:textId="77777777" w:rsidR="00503AE8" w:rsidRPr="009B5B67" w:rsidRDefault="00503AE8" w:rsidP="00195CF2">
            <w:pPr>
              <w:tabs>
                <w:tab w:val="left" w:pos="2401"/>
                <w:tab w:val="left" w:pos="2402"/>
              </w:tabs>
              <w:spacing w:after="0"/>
              <w:ind w:left="323" w:hanging="323"/>
              <w:rPr>
                <w:rFonts w:cstheme="minorHAnsi"/>
                <w:szCs w:val="20"/>
                <w:lang w:val="en-GB"/>
              </w:rPr>
            </w:pPr>
            <w:r w:rsidRPr="009B5B67">
              <w:rPr>
                <w:rFonts w:cstheme="minorHAnsi"/>
                <w:szCs w:val="20"/>
                <w:lang w:val="en-GB"/>
              </w:rPr>
              <w:t>(c)</w:t>
            </w:r>
            <w:r w:rsidRPr="009B5B67">
              <w:rPr>
                <w:rFonts w:cstheme="minorHAnsi"/>
                <w:szCs w:val="20"/>
                <w:lang w:val="en-GB"/>
              </w:rPr>
              <w:tab/>
              <w:t>For strategies, plans and actions referred to in Article 4, paragraph 6, of the Paris Agreement, or polices and measures as components of nationally determined contributions where paragraph 1(b) above is not applicable, Parties to provide other relevant information;</w:t>
            </w:r>
          </w:p>
        </w:tc>
        <w:tc>
          <w:tcPr>
            <w:tcW w:w="6379" w:type="dxa"/>
          </w:tcPr>
          <w:p w14:paraId="2A79CDF6" w14:textId="77777777" w:rsidR="00503AE8" w:rsidRPr="009B5B67" w:rsidRDefault="00503AE8" w:rsidP="00503AE8">
            <w:pPr>
              <w:tabs>
                <w:tab w:val="left" w:pos="2402"/>
              </w:tabs>
              <w:rPr>
                <w:rFonts w:cstheme="minorHAnsi"/>
                <w:szCs w:val="20"/>
                <w:lang w:val="en-GB"/>
              </w:rPr>
            </w:pPr>
            <w:r w:rsidRPr="009B5B67">
              <w:rPr>
                <w:rFonts w:cstheme="minorHAnsi"/>
                <w:szCs w:val="20"/>
                <w:lang w:val="en-GB"/>
              </w:rPr>
              <w:t>Not applicable</w:t>
            </w:r>
          </w:p>
        </w:tc>
      </w:tr>
      <w:tr w:rsidR="00503AE8" w:rsidRPr="009B5B67" w14:paraId="249BBD34" w14:textId="77777777" w:rsidTr="00195CF2">
        <w:trPr>
          <w:trHeight w:val="20"/>
        </w:trPr>
        <w:tc>
          <w:tcPr>
            <w:tcW w:w="3686" w:type="dxa"/>
          </w:tcPr>
          <w:p w14:paraId="1665F1A3" w14:textId="77777777" w:rsidR="00503AE8" w:rsidRPr="009B5B67" w:rsidRDefault="00503AE8" w:rsidP="001B523C">
            <w:pPr>
              <w:keepNext/>
              <w:keepLines/>
              <w:tabs>
                <w:tab w:val="left" w:pos="2401"/>
                <w:tab w:val="left" w:pos="2402"/>
              </w:tabs>
              <w:spacing w:after="0"/>
              <w:ind w:left="323" w:hanging="323"/>
              <w:rPr>
                <w:rFonts w:cstheme="minorHAnsi"/>
                <w:szCs w:val="20"/>
                <w:lang w:val="en-GB"/>
              </w:rPr>
            </w:pPr>
            <w:r w:rsidRPr="009B5B67">
              <w:rPr>
                <w:rFonts w:cstheme="minorHAnsi"/>
                <w:szCs w:val="20"/>
                <w:lang w:val="en-GB"/>
              </w:rPr>
              <w:t>(d)</w:t>
            </w:r>
            <w:r w:rsidRPr="009B5B67">
              <w:rPr>
                <w:rFonts w:cstheme="minorHAnsi"/>
                <w:szCs w:val="20"/>
                <w:lang w:val="en-GB"/>
              </w:rPr>
              <w:tab/>
              <w:t>Target relative to the reference indicator, expressed numerically, for example in percentage or amount of reduction;</w:t>
            </w:r>
          </w:p>
        </w:tc>
        <w:tc>
          <w:tcPr>
            <w:tcW w:w="6379" w:type="dxa"/>
          </w:tcPr>
          <w:p w14:paraId="5FF3AA64" w14:textId="29C3914B" w:rsidR="00CD5F0E" w:rsidRPr="009B5B67" w:rsidRDefault="00503AE8" w:rsidP="001B523C">
            <w:pPr>
              <w:keepNext/>
              <w:keepLines/>
              <w:tabs>
                <w:tab w:val="left" w:pos="2401"/>
                <w:tab w:val="left" w:pos="2402"/>
              </w:tabs>
              <w:spacing w:after="0"/>
              <w:ind w:left="312" w:hanging="312"/>
              <w:rPr>
                <w:rFonts w:cstheme="minorHAnsi"/>
                <w:szCs w:val="20"/>
                <w:lang w:val="en-GB"/>
              </w:rPr>
            </w:pPr>
            <w:r w:rsidRPr="009B5B67">
              <w:rPr>
                <w:rFonts w:cstheme="minorHAnsi"/>
                <w:szCs w:val="20"/>
                <w:lang w:val="en-GB"/>
              </w:rPr>
              <w:t>(A)</w:t>
            </w:r>
            <w:r w:rsidRPr="009B5B67">
              <w:rPr>
                <w:rFonts w:cstheme="minorHAnsi"/>
                <w:szCs w:val="20"/>
                <w:lang w:val="en-GB"/>
              </w:rPr>
              <w:tab/>
            </w:r>
            <w:r w:rsidR="00954A97" w:rsidRPr="009B5B67">
              <w:rPr>
                <w:rFonts w:cstheme="minorHAnsi"/>
                <w:b/>
                <w:szCs w:val="20"/>
                <w:lang w:val="en-GB"/>
              </w:rPr>
              <w:t>Relative</w:t>
            </w:r>
            <w:r w:rsidR="005F7CB6" w:rsidRPr="009B5B67">
              <w:rPr>
                <w:rFonts w:cstheme="minorHAnsi"/>
                <w:b/>
                <w:szCs w:val="20"/>
                <w:lang w:val="en-GB"/>
              </w:rPr>
              <w:t xml:space="preserve"> economy-</w:t>
            </w:r>
            <w:r w:rsidR="0042713A" w:rsidRPr="009B5B67">
              <w:rPr>
                <w:rFonts w:cstheme="minorHAnsi"/>
                <w:b/>
                <w:szCs w:val="20"/>
                <w:lang w:val="en-GB"/>
              </w:rPr>
              <w:t>wide</w:t>
            </w:r>
            <w:r w:rsidR="00732306" w:rsidRPr="009B5B67">
              <w:rPr>
                <w:rFonts w:cstheme="minorHAnsi"/>
                <w:b/>
                <w:szCs w:val="20"/>
                <w:lang w:val="en-GB"/>
              </w:rPr>
              <w:t xml:space="preserve"> target</w:t>
            </w:r>
            <w:r w:rsidR="00732306" w:rsidRPr="009B5B67">
              <w:rPr>
                <w:rFonts w:cstheme="minorHAnsi"/>
                <w:szCs w:val="20"/>
                <w:lang w:val="en-GB"/>
              </w:rPr>
              <w:t xml:space="preserve"> - r</w:t>
            </w:r>
            <w:r w:rsidRPr="009B5B67">
              <w:rPr>
                <w:rFonts w:cstheme="minorHAnsi"/>
                <w:szCs w:val="20"/>
                <w:lang w:val="en-GB"/>
              </w:rPr>
              <w:t>ed</w:t>
            </w:r>
            <w:r w:rsidR="00732306" w:rsidRPr="009B5B67">
              <w:rPr>
                <w:rFonts w:cstheme="minorHAnsi"/>
                <w:szCs w:val="20"/>
                <w:lang w:val="en-GB"/>
              </w:rPr>
              <w:t>uction of GHG emissions by 2030:</w:t>
            </w:r>
          </w:p>
          <w:p w14:paraId="21DCB6AA" w14:textId="77777777" w:rsidR="00503AE8" w:rsidRPr="009B5B67" w:rsidRDefault="00CD5F0E" w:rsidP="001B523C">
            <w:pPr>
              <w:keepNext/>
              <w:keepLines/>
              <w:tabs>
                <w:tab w:val="left" w:pos="1704"/>
              </w:tabs>
              <w:spacing w:after="0"/>
              <w:ind w:left="312" w:hanging="312"/>
              <w:rPr>
                <w:rFonts w:cstheme="minorHAnsi"/>
                <w:szCs w:val="20"/>
                <w:lang w:val="en-GB"/>
              </w:rPr>
            </w:pPr>
            <w:r w:rsidRPr="009B5B67">
              <w:rPr>
                <w:rFonts w:cstheme="minorHAnsi"/>
                <w:szCs w:val="20"/>
                <w:lang w:val="en-GB"/>
              </w:rPr>
              <w:tab/>
            </w:r>
            <w:r w:rsidRPr="009B5B67">
              <w:rPr>
                <w:rFonts w:cstheme="minorHAnsi"/>
                <w:szCs w:val="20"/>
                <w:lang w:val="en-GB"/>
              </w:rPr>
              <w:tab/>
            </w:r>
            <w:r w:rsidRPr="009B5B67">
              <w:rPr>
                <w:rFonts w:cstheme="minorHAnsi"/>
                <w:szCs w:val="20"/>
                <w:lang w:val="en-GB"/>
              </w:rPr>
              <w:tab/>
            </w:r>
            <w:r w:rsidR="00503AE8" w:rsidRPr="009B5B67">
              <w:rPr>
                <w:rFonts w:cstheme="minorHAnsi"/>
                <w:szCs w:val="20"/>
                <w:lang w:val="en-GB"/>
              </w:rPr>
              <w:t>- 13.2 % compared to 2010</w:t>
            </w:r>
          </w:p>
          <w:p w14:paraId="2B5866A9" w14:textId="77777777" w:rsidR="00503AE8" w:rsidRPr="009B5B67" w:rsidRDefault="00503AE8" w:rsidP="001B523C">
            <w:pPr>
              <w:keepNext/>
              <w:keepLines/>
              <w:tabs>
                <w:tab w:val="left" w:pos="1704"/>
              </w:tabs>
              <w:ind w:left="312"/>
              <w:rPr>
                <w:rFonts w:cstheme="minorHAnsi"/>
                <w:szCs w:val="20"/>
                <w:lang w:val="en-GB"/>
              </w:rPr>
            </w:pPr>
            <w:r w:rsidRPr="009B5B67">
              <w:rPr>
                <w:rFonts w:cstheme="minorHAnsi"/>
                <w:szCs w:val="20"/>
                <w:lang w:val="en-GB"/>
              </w:rPr>
              <w:tab/>
            </w:r>
            <w:r w:rsidRPr="009B5B67">
              <w:rPr>
                <w:rFonts w:cstheme="minorHAnsi"/>
                <w:szCs w:val="20"/>
                <w:lang w:val="en-GB"/>
              </w:rPr>
              <w:tab/>
              <w:t>- 33.3% compared to 1990</w:t>
            </w:r>
          </w:p>
          <w:p w14:paraId="79671F22" w14:textId="0FA5B3BB" w:rsidR="00503AE8" w:rsidRPr="009B5B67" w:rsidRDefault="00503AE8" w:rsidP="001B523C">
            <w:pPr>
              <w:keepNext/>
              <w:keepLines/>
              <w:tabs>
                <w:tab w:val="left" w:pos="2401"/>
                <w:tab w:val="left" w:pos="2402"/>
              </w:tabs>
              <w:spacing w:after="0"/>
              <w:ind w:left="312" w:hanging="312"/>
              <w:rPr>
                <w:rFonts w:cstheme="minorHAnsi"/>
                <w:szCs w:val="20"/>
                <w:lang w:val="en-GB"/>
              </w:rPr>
            </w:pPr>
            <w:r w:rsidRPr="009B5B67">
              <w:rPr>
                <w:rFonts w:cstheme="minorHAnsi"/>
                <w:szCs w:val="20"/>
                <w:lang w:val="en-GB"/>
              </w:rPr>
              <w:t>(B)</w:t>
            </w:r>
            <w:r w:rsidRPr="009B5B67">
              <w:rPr>
                <w:rFonts w:cstheme="minorHAnsi"/>
                <w:szCs w:val="20"/>
                <w:lang w:val="en-GB"/>
              </w:rPr>
              <w:tab/>
            </w:r>
            <w:r w:rsidRPr="009B5B67">
              <w:rPr>
                <w:rFonts w:cstheme="minorHAnsi"/>
                <w:b/>
                <w:szCs w:val="20"/>
                <w:lang w:val="en-GB"/>
              </w:rPr>
              <w:t>Conditionally</w:t>
            </w:r>
            <w:r w:rsidRPr="009B5B67">
              <w:rPr>
                <w:rFonts w:cstheme="minorHAnsi"/>
                <w:szCs w:val="20"/>
                <w:lang w:val="en-GB"/>
              </w:rPr>
              <w:t xml:space="preserve"> upon appropriate financial, technical, and capacity building support by the international community, redu</w:t>
            </w:r>
            <w:r w:rsidR="00CD5F0E" w:rsidRPr="009B5B67">
              <w:rPr>
                <w:rFonts w:cstheme="minorHAnsi"/>
                <w:szCs w:val="20"/>
                <w:lang w:val="en-GB"/>
              </w:rPr>
              <w:t>ction of GHG emissions by 2030</w:t>
            </w:r>
            <w:r w:rsidR="00732306" w:rsidRPr="009B5B67">
              <w:rPr>
                <w:rFonts w:cstheme="minorHAnsi"/>
                <w:szCs w:val="20"/>
                <w:lang w:val="en-GB"/>
              </w:rPr>
              <w:t>:</w:t>
            </w:r>
          </w:p>
          <w:p w14:paraId="04224EF8" w14:textId="77777777" w:rsidR="00503AE8" w:rsidRPr="009B5B67" w:rsidRDefault="00503AE8" w:rsidP="001B523C">
            <w:pPr>
              <w:keepNext/>
              <w:keepLines/>
              <w:tabs>
                <w:tab w:val="left" w:pos="1704"/>
              </w:tabs>
              <w:spacing w:after="0"/>
              <w:ind w:left="312" w:hanging="312"/>
              <w:rPr>
                <w:rFonts w:cstheme="minorHAnsi"/>
                <w:szCs w:val="20"/>
                <w:lang w:val="en-GB"/>
              </w:rPr>
            </w:pPr>
            <w:r w:rsidRPr="009B5B67">
              <w:rPr>
                <w:rFonts w:cstheme="minorHAnsi"/>
                <w:szCs w:val="20"/>
                <w:lang w:val="en-GB"/>
              </w:rPr>
              <w:tab/>
            </w:r>
            <w:r w:rsidRPr="009B5B67">
              <w:rPr>
                <w:rFonts w:cstheme="minorHAnsi"/>
                <w:szCs w:val="20"/>
                <w:lang w:val="en-GB"/>
              </w:rPr>
              <w:tab/>
            </w:r>
            <w:r w:rsidR="00D220B0" w:rsidRPr="009B5B67">
              <w:rPr>
                <w:rFonts w:cstheme="minorHAnsi"/>
                <w:szCs w:val="20"/>
                <w:lang w:val="en-GB"/>
              </w:rPr>
              <w:tab/>
            </w:r>
            <w:r w:rsidRPr="009B5B67">
              <w:rPr>
                <w:rFonts w:cstheme="minorHAnsi"/>
                <w:szCs w:val="20"/>
                <w:lang w:val="en-GB"/>
              </w:rPr>
              <w:t>- 28.7% compared to 2010</w:t>
            </w:r>
          </w:p>
          <w:p w14:paraId="2925A79B" w14:textId="4CCD6DB4" w:rsidR="00E56D9A" w:rsidRPr="009B5B67" w:rsidRDefault="00503AE8" w:rsidP="003560D7">
            <w:pPr>
              <w:keepNext/>
              <w:keepLines/>
              <w:tabs>
                <w:tab w:val="left" w:pos="1704"/>
              </w:tabs>
              <w:spacing w:after="0"/>
              <w:ind w:left="312" w:hanging="312"/>
              <w:rPr>
                <w:rFonts w:cstheme="minorHAnsi"/>
                <w:szCs w:val="20"/>
                <w:lang w:val="en-GB"/>
              </w:rPr>
            </w:pPr>
            <w:r w:rsidRPr="009B5B67">
              <w:rPr>
                <w:rFonts w:cstheme="minorHAnsi"/>
                <w:szCs w:val="20"/>
                <w:lang w:val="en-GB"/>
              </w:rPr>
              <w:tab/>
            </w:r>
            <w:r w:rsidRPr="009B5B67">
              <w:rPr>
                <w:rFonts w:cstheme="minorHAnsi"/>
                <w:szCs w:val="20"/>
                <w:lang w:val="en-GB"/>
              </w:rPr>
              <w:tab/>
            </w:r>
            <w:r w:rsidRPr="009B5B67">
              <w:rPr>
                <w:rFonts w:cstheme="minorHAnsi"/>
                <w:szCs w:val="20"/>
                <w:lang w:val="en-GB"/>
              </w:rPr>
              <w:tab/>
              <w:t xml:space="preserve">- 45.2% compared to 1990 </w:t>
            </w:r>
          </w:p>
        </w:tc>
      </w:tr>
      <w:tr w:rsidR="000A5269" w:rsidRPr="00080666" w14:paraId="595D079E" w14:textId="77777777" w:rsidTr="00195CF2">
        <w:trPr>
          <w:trHeight w:val="775"/>
        </w:trPr>
        <w:tc>
          <w:tcPr>
            <w:tcW w:w="3686" w:type="dxa"/>
          </w:tcPr>
          <w:p w14:paraId="05B629D8" w14:textId="77777777" w:rsidR="000A5269" w:rsidRPr="009B5B67" w:rsidRDefault="000A5269" w:rsidP="00F26AF5">
            <w:pPr>
              <w:keepLines/>
              <w:widowControl w:val="0"/>
              <w:tabs>
                <w:tab w:val="left" w:pos="2401"/>
                <w:tab w:val="left" w:pos="2402"/>
              </w:tabs>
              <w:ind w:left="322" w:hanging="322"/>
              <w:rPr>
                <w:rFonts w:cstheme="minorHAnsi"/>
                <w:szCs w:val="20"/>
                <w:lang w:val="en-GB"/>
              </w:rPr>
            </w:pPr>
            <w:r w:rsidRPr="009B5B67">
              <w:rPr>
                <w:rFonts w:cstheme="minorHAnsi"/>
                <w:szCs w:val="20"/>
                <w:lang w:val="en-GB"/>
              </w:rPr>
              <w:t>(e)</w:t>
            </w:r>
            <w:r w:rsidRPr="009B5B67">
              <w:rPr>
                <w:rFonts w:cstheme="minorHAnsi"/>
                <w:szCs w:val="20"/>
                <w:lang w:val="en-GB"/>
              </w:rPr>
              <w:tab/>
              <w:t>Information on sources of data used in quantifying the reference point(s)</w:t>
            </w:r>
          </w:p>
        </w:tc>
        <w:tc>
          <w:tcPr>
            <w:tcW w:w="6379" w:type="dxa"/>
          </w:tcPr>
          <w:p w14:paraId="386FEE8E" w14:textId="3ED3DF1C" w:rsidR="000A5269" w:rsidRPr="009B5B67" w:rsidRDefault="000A5269" w:rsidP="00F26AF5">
            <w:pPr>
              <w:keepLines/>
              <w:widowControl w:val="0"/>
              <w:tabs>
                <w:tab w:val="left" w:pos="2401"/>
                <w:tab w:val="left" w:pos="2402"/>
              </w:tabs>
              <w:rPr>
                <w:rFonts w:cstheme="minorHAnsi"/>
                <w:b/>
                <w:szCs w:val="20"/>
                <w:lang w:val="en-GB"/>
              </w:rPr>
            </w:pPr>
            <w:r w:rsidRPr="009B5B67">
              <w:rPr>
                <w:rFonts w:cstheme="minorHAnsi"/>
                <w:b/>
                <w:szCs w:val="20"/>
                <w:lang w:val="en-GB"/>
              </w:rPr>
              <w:t>National GHG inventory for the time series 1990 – 2015</w:t>
            </w:r>
            <w:r w:rsidR="00AF732F" w:rsidRPr="009B5B67">
              <w:rPr>
                <w:rFonts w:cstheme="minorHAnsi"/>
                <w:b/>
                <w:szCs w:val="20"/>
                <w:lang w:val="en-GB"/>
              </w:rPr>
              <w:t xml:space="preserve"> </w:t>
            </w:r>
          </w:p>
          <w:p w14:paraId="08CDC722" w14:textId="61640591" w:rsidR="000A5269" w:rsidRPr="009B5B67" w:rsidRDefault="000A5269" w:rsidP="00AF732F">
            <w:pPr>
              <w:keepLines/>
              <w:widowControl w:val="0"/>
              <w:tabs>
                <w:tab w:val="left" w:pos="2402"/>
              </w:tabs>
              <w:rPr>
                <w:rFonts w:cstheme="minorHAnsi"/>
                <w:szCs w:val="20"/>
                <w:lang w:val="en-GB"/>
              </w:rPr>
            </w:pPr>
            <w:r w:rsidRPr="009B5B67">
              <w:rPr>
                <w:rFonts w:cstheme="minorHAnsi"/>
                <w:szCs w:val="20"/>
                <w:lang w:val="en-GB"/>
              </w:rPr>
              <w:t xml:space="preserve">Prepared by the Serbian Environmental Protection Agency (SEPA) and presented </w:t>
            </w:r>
            <w:r w:rsidR="000A3051" w:rsidRPr="009B5B67">
              <w:rPr>
                <w:rFonts w:cstheme="minorHAnsi"/>
                <w:szCs w:val="20"/>
                <w:lang w:val="en-GB"/>
              </w:rPr>
              <w:t xml:space="preserve">in the </w:t>
            </w:r>
            <w:r w:rsidRPr="009B5B67">
              <w:rPr>
                <w:rFonts w:cstheme="minorHAnsi"/>
                <w:szCs w:val="20"/>
                <w:lang w:val="en-GB"/>
              </w:rPr>
              <w:t>Second Biennial update report (BUR2).</w:t>
            </w:r>
          </w:p>
        </w:tc>
      </w:tr>
      <w:tr w:rsidR="00503AE8" w:rsidRPr="00080666" w14:paraId="6C7875F1" w14:textId="77777777" w:rsidTr="00195CF2">
        <w:trPr>
          <w:trHeight w:val="1161"/>
        </w:trPr>
        <w:tc>
          <w:tcPr>
            <w:tcW w:w="3686" w:type="dxa"/>
          </w:tcPr>
          <w:p w14:paraId="60FA0EF0" w14:textId="77777777" w:rsidR="00503AE8" w:rsidRPr="009B5B67" w:rsidRDefault="00503AE8" w:rsidP="00503AE8">
            <w:pPr>
              <w:tabs>
                <w:tab w:val="left" w:pos="2401"/>
                <w:tab w:val="left" w:pos="2402"/>
              </w:tabs>
              <w:ind w:left="322" w:hanging="322"/>
              <w:rPr>
                <w:rFonts w:cstheme="minorHAnsi"/>
                <w:szCs w:val="20"/>
                <w:lang w:val="en-GB"/>
              </w:rPr>
            </w:pPr>
            <w:r w:rsidRPr="009B5B67">
              <w:rPr>
                <w:rFonts w:cstheme="minorHAnsi"/>
                <w:szCs w:val="20"/>
                <w:lang w:val="en-GB"/>
              </w:rPr>
              <w:lastRenderedPageBreak/>
              <w:t>(f)</w:t>
            </w:r>
            <w:r w:rsidRPr="009B5B67">
              <w:rPr>
                <w:rFonts w:cstheme="minorHAnsi"/>
                <w:szCs w:val="20"/>
                <w:lang w:val="en-GB"/>
              </w:rPr>
              <w:tab/>
              <w:t>Information on the circumstances under which the Party may update the values of the reference indicators.</w:t>
            </w:r>
          </w:p>
        </w:tc>
        <w:tc>
          <w:tcPr>
            <w:tcW w:w="6379" w:type="dxa"/>
          </w:tcPr>
          <w:p w14:paraId="741C0585" w14:textId="0467E3F5" w:rsidR="00503AE8" w:rsidRPr="009B5B67" w:rsidRDefault="00503AE8" w:rsidP="00503AE8">
            <w:pPr>
              <w:tabs>
                <w:tab w:val="left" w:pos="2402"/>
              </w:tabs>
              <w:rPr>
                <w:rFonts w:cs="Arial"/>
                <w:szCs w:val="20"/>
                <w:lang w:val="en-GB"/>
              </w:rPr>
            </w:pPr>
            <w:r w:rsidRPr="009B5B67">
              <w:rPr>
                <w:rFonts w:cs="Arial"/>
                <w:szCs w:val="20"/>
                <w:lang w:val="en-GB"/>
              </w:rPr>
              <w:t xml:space="preserve">The </w:t>
            </w:r>
            <w:r w:rsidRPr="009B5B67">
              <w:rPr>
                <w:rFonts w:cs="Arial"/>
                <w:b/>
                <w:szCs w:val="20"/>
                <w:lang w:val="en-GB"/>
              </w:rPr>
              <w:t xml:space="preserve">National GHG emissions </w:t>
            </w:r>
            <w:r w:rsidRPr="009B5B67">
              <w:rPr>
                <w:rFonts w:cs="Arial"/>
                <w:szCs w:val="20"/>
                <w:lang w:val="en-GB"/>
              </w:rPr>
              <w:t xml:space="preserve">in </w:t>
            </w:r>
            <w:r w:rsidRPr="009B5B67">
              <w:rPr>
                <w:rFonts w:cs="Arial"/>
                <w:b/>
                <w:szCs w:val="20"/>
                <w:lang w:val="en-GB"/>
              </w:rPr>
              <w:t xml:space="preserve">base year and reference year </w:t>
            </w:r>
            <w:r w:rsidRPr="009B5B67">
              <w:rPr>
                <w:rFonts w:cs="Arial"/>
                <w:szCs w:val="20"/>
                <w:lang w:val="en-GB"/>
              </w:rPr>
              <w:t xml:space="preserve">may be </w:t>
            </w:r>
            <w:r w:rsidRPr="009B5B67">
              <w:rPr>
                <w:rFonts w:cs="Arial"/>
                <w:b/>
                <w:szCs w:val="20"/>
                <w:lang w:val="en-GB"/>
              </w:rPr>
              <w:t xml:space="preserve">updated and recalculated </w:t>
            </w:r>
            <w:r w:rsidRPr="009B5B67">
              <w:rPr>
                <w:rFonts w:cs="Arial"/>
                <w:szCs w:val="20"/>
                <w:lang w:val="en-GB"/>
              </w:rPr>
              <w:t>due to</w:t>
            </w:r>
            <w:r w:rsidRPr="009B5B67">
              <w:rPr>
                <w:rFonts w:cs="Arial"/>
                <w:b/>
                <w:szCs w:val="20"/>
                <w:lang w:val="en-GB"/>
              </w:rPr>
              <w:t xml:space="preserve"> methodo</w:t>
            </w:r>
            <w:r w:rsidR="002E20DF" w:rsidRPr="009B5B67">
              <w:rPr>
                <w:rFonts w:cs="Arial"/>
                <w:b/>
                <w:szCs w:val="20"/>
                <w:lang w:val="en-GB"/>
              </w:rPr>
              <w:t>logical changes and refinements</w:t>
            </w:r>
            <w:r w:rsidRPr="009B5B67">
              <w:rPr>
                <w:rFonts w:cs="Arial"/>
                <w:szCs w:val="20"/>
                <w:lang w:val="en-GB"/>
              </w:rPr>
              <w:t>.</w:t>
            </w:r>
            <w:r w:rsidR="002E20DF" w:rsidRPr="009B5B67">
              <w:rPr>
                <w:rFonts w:cs="Arial"/>
                <w:szCs w:val="20"/>
                <w:lang w:val="en-GB"/>
              </w:rPr>
              <w:t xml:space="preserve"> </w:t>
            </w:r>
          </w:p>
          <w:p w14:paraId="72AA9899" w14:textId="77777777" w:rsidR="00545F10" w:rsidRPr="009B5B67" w:rsidRDefault="00925604" w:rsidP="002E20DF">
            <w:pPr>
              <w:spacing w:after="0" w:line="240" w:lineRule="auto"/>
              <w:rPr>
                <w:rFonts w:cs="Arial"/>
                <w:szCs w:val="20"/>
                <w:lang w:val="en-GB"/>
              </w:rPr>
            </w:pPr>
            <w:r w:rsidRPr="009B5B67">
              <w:rPr>
                <w:rFonts w:cs="Arial"/>
                <w:szCs w:val="20"/>
                <w:lang w:val="en-GB"/>
              </w:rPr>
              <w:t xml:space="preserve">In addition, </w:t>
            </w:r>
            <w:r w:rsidR="002E20DF" w:rsidRPr="009B5B67">
              <w:rPr>
                <w:rFonts w:cs="Arial"/>
                <w:szCs w:val="20"/>
                <w:lang w:val="en-GB"/>
              </w:rPr>
              <w:t>changes in GDP and other macro-economic parameters</w:t>
            </w:r>
            <w:r w:rsidRPr="009B5B67">
              <w:rPr>
                <w:rFonts w:cs="Arial"/>
                <w:szCs w:val="20"/>
                <w:lang w:val="en-GB"/>
              </w:rPr>
              <w:t xml:space="preserve">, </w:t>
            </w:r>
            <w:r w:rsidR="00D07AE2" w:rsidRPr="009B5B67">
              <w:rPr>
                <w:rFonts w:cs="Arial"/>
                <w:szCs w:val="20"/>
                <w:lang w:val="en-GB"/>
              </w:rPr>
              <w:t xml:space="preserve">as those recognized in COVID-19 </w:t>
            </w:r>
            <w:r w:rsidR="00D07AE2" w:rsidRPr="009B5B67">
              <w:rPr>
                <w:lang w:val="en-GB"/>
              </w:rPr>
              <w:t>Socio-Economic Response Plan for Serbia</w:t>
            </w:r>
            <w:r w:rsidR="0064448A" w:rsidRPr="009B5B67">
              <w:rPr>
                <w:rStyle w:val="FootnoteReference"/>
                <w:lang w:val="en-GB"/>
              </w:rPr>
              <w:footnoteReference w:id="3"/>
            </w:r>
            <w:r w:rsidRPr="009B5B67">
              <w:rPr>
                <w:rFonts w:cs="Arial"/>
                <w:szCs w:val="20"/>
                <w:lang w:val="en-GB"/>
              </w:rPr>
              <w:t xml:space="preserve"> </w:t>
            </w:r>
            <w:r w:rsidR="002E20DF" w:rsidRPr="009B5B67">
              <w:rPr>
                <w:rFonts w:cs="Arial"/>
                <w:szCs w:val="20"/>
                <w:lang w:val="en-GB"/>
              </w:rPr>
              <w:t xml:space="preserve">may </w:t>
            </w:r>
            <w:r w:rsidR="00545F10" w:rsidRPr="009B5B67">
              <w:rPr>
                <w:rFonts w:cstheme="minorHAnsi"/>
                <w:szCs w:val="20"/>
                <w:lang w:val="en-GB"/>
              </w:rPr>
              <w:t>lead to update of the values of the reference indicators</w:t>
            </w:r>
            <w:r w:rsidR="002E20DF" w:rsidRPr="009B5B67">
              <w:rPr>
                <w:rFonts w:cs="Arial"/>
                <w:szCs w:val="20"/>
                <w:lang w:val="en-GB"/>
              </w:rPr>
              <w:t>.</w:t>
            </w:r>
          </w:p>
          <w:p w14:paraId="70CF4944" w14:textId="0ED3E952" w:rsidR="002E20DF" w:rsidRPr="009B5B67" w:rsidRDefault="002E20DF" w:rsidP="002E20DF">
            <w:pPr>
              <w:spacing w:after="0" w:line="240" w:lineRule="auto"/>
              <w:rPr>
                <w:rFonts w:cs="Arial"/>
                <w:szCs w:val="20"/>
                <w:lang w:val="en-GB"/>
              </w:rPr>
            </w:pPr>
            <w:r w:rsidRPr="009B5B67">
              <w:rPr>
                <w:rFonts w:cs="Arial"/>
                <w:szCs w:val="20"/>
                <w:lang w:val="en-GB"/>
              </w:rPr>
              <w:t xml:space="preserve"> </w:t>
            </w:r>
          </w:p>
          <w:p w14:paraId="720CB494" w14:textId="3B158ADB" w:rsidR="00503AE8" w:rsidRPr="009B5B67" w:rsidRDefault="00503AE8" w:rsidP="00EA7BC1">
            <w:pPr>
              <w:tabs>
                <w:tab w:val="left" w:pos="2402"/>
              </w:tabs>
              <w:spacing w:after="0"/>
              <w:rPr>
                <w:rFonts w:cstheme="minorHAnsi"/>
                <w:szCs w:val="20"/>
                <w:lang w:val="en-GB"/>
              </w:rPr>
            </w:pPr>
            <w:r w:rsidRPr="009B5B67">
              <w:rPr>
                <w:rFonts w:cs="Arial"/>
                <w:szCs w:val="20"/>
                <w:lang w:val="en-GB"/>
              </w:rPr>
              <w:t xml:space="preserve">Information on recalculations will be provided in the </w:t>
            </w:r>
            <w:r w:rsidR="0011329D" w:rsidRPr="009B5B67">
              <w:rPr>
                <w:rFonts w:cs="Arial"/>
                <w:szCs w:val="20"/>
                <w:lang w:val="en-GB"/>
              </w:rPr>
              <w:t xml:space="preserve">relevant chapters of the </w:t>
            </w:r>
            <w:r w:rsidRPr="009B5B67">
              <w:rPr>
                <w:rFonts w:cs="Arial"/>
                <w:szCs w:val="20"/>
                <w:lang w:val="en-GB"/>
              </w:rPr>
              <w:t>Biennial Update Report (BUR) and Biennial Transparency Report (BTR), respectively.</w:t>
            </w:r>
          </w:p>
        </w:tc>
      </w:tr>
    </w:tbl>
    <w:p w14:paraId="64519935" w14:textId="77777777" w:rsidR="00195CF2" w:rsidRPr="009B5B67" w:rsidRDefault="00195CF2">
      <w:pPr>
        <w:rPr>
          <w:lang w:val="en-GB"/>
        </w:rPr>
      </w:pPr>
    </w:p>
    <w:tbl>
      <w:tblPr>
        <w:tblStyle w:val="TableGrid"/>
        <w:tblW w:w="10065" w:type="dxa"/>
        <w:tblInd w:w="-5" w:type="dxa"/>
        <w:tblCellMar>
          <w:top w:w="108" w:type="dxa"/>
          <w:bottom w:w="108" w:type="dxa"/>
        </w:tblCellMar>
        <w:tblLook w:val="04A0" w:firstRow="1" w:lastRow="0" w:firstColumn="1" w:lastColumn="0" w:noHBand="0" w:noVBand="1"/>
      </w:tblPr>
      <w:tblGrid>
        <w:gridCol w:w="3686"/>
        <w:gridCol w:w="6379"/>
      </w:tblGrid>
      <w:tr w:rsidR="00503AE8" w:rsidRPr="00080666" w14:paraId="32C5F35F" w14:textId="77777777" w:rsidTr="006C0393">
        <w:trPr>
          <w:trHeight w:val="20"/>
        </w:trPr>
        <w:tc>
          <w:tcPr>
            <w:tcW w:w="10065" w:type="dxa"/>
            <w:gridSpan w:val="2"/>
            <w:shd w:val="clear" w:color="auto" w:fill="D9E2F3" w:themeFill="accent1" w:themeFillTint="33"/>
          </w:tcPr>
          <w:p w14:paraId="296F6D6F" w14:textId="77777777" w:rsidR="00503AE8" w:rsidRPr="009B5B67" w:rsidRDefault="00503AE8" w:rsidP="009C316D">
            <w:pPr>
              <w:pStyle w:val="Heading6"/>
              <w:spacing w:after="0"/>
              <w:rPr>
                <w:lang w:val="en-GB"/>
              </w:rPr>
            </w:pPr>
            <w:bookmarkStart w:id="18" w:name="_Toc56411145"/>
            <w:r w:rsidRPr="009B5B67">
              <w:rPr>
                <w:lang w:val="en-GB"/>
              </w:rPr>
              <w:t>2. Time frames and/or periods for implementation</w:t>
            </w:r>
            <w:bookmarkEnd w:id="18"/>
          </w:p>
        </w:tc>
      </w:tr>
      <w:tr w:rsidR="00503AE8" w:rsidRPr="00080666" w14:paraId="2EC12A20" w14:textId="77777777" w:rsidTr="006C0393">
        <w:trPr>
          <w:trHeight w:val="20"/>
        </w:trPr>
        <w:tc>
          <w:tcPr>
            <w:tcW w:w="3686" w:type="dxa"/>
          </w:tcPr>
          <w:p w14:paraId="6F165841" w14:textId="77777777" w:rsidR="00503AE8" w:rsidRPr="009B5B67" w:rsidRDefault="00503AE8" w:rsidP="006C0393">
            <w:pPr>
              <w:keepNext/>
              <w:keepLines/>
              <w:tabs>
                <w:tab w:val="left" w:pos="2401"/>
                <w:tab w:val="left" w:pos="2402"/>
              </w:tabs>
              <w:spacing w:after="0"/>
              <w:ind w:left="323" w:hanging="323"/>
              <w:rPr>
                <w:rFonts w:cstheme="minorHAnsi"/>
                <w:szCs w:val="20"/>
                <w:lang w:val="en-GB"/>
              </w:rPr>
            </w:pPr>
            <w:r w:rsidRPr="009B5B67">
              <w:rPr>
                <w:rFonts w:cstheme="minorHAnsi"/>
                <w:szCs w:val="20"/>
                <w:lang w:val="en-GB"/>
              </w:rPr>
              <w:t>(a)</w:t>
            </w:r>
            <w:r w:rsidRPr="009B5B67">
              <w:rPr>
                <w:rFonts w:cstheme="minorHAnsi"/>
                <w:szCs w:val="20"/>
                <w:lang w:val="en-GB"/>
              </w:rPr>
              <w:tab/>
              <w:t>Time frame and/or period for implementation, including start and end date, consistent with any further relevant decision adopted by the Conference of the Parties serving as the meeting of the Parties to the Paris Agreement (CMA)</w:t>
            </w:r>
          </w:p>
        </w:tc>
        <w:tc>
          <w:tcPr>
            <w:tcW w:w="6379" w:type="dxa"/>
          </w:tcPr>
          <w:p w14:paraId="4744A029" w14:textId="0DA74B34" w:rsidR="00503AE8" w:rsidRPr="009B5B67" w:rsidRDefault="00503AE8" w:rsidP="00EA7BC1">
            <w:pPr>
              <w:tabs>
                <w:tab w:val="left" w:pos="2402"/>
              </w:tabs>
              <w:rPr>
                <w:rFonts w:cstheme="minorHAnsi"/>
                <w:szCs w:val="20"/>
                <w:lang w:val="en-GB"/>
              </w:rPr>
            </w:pPr>
            <w:r w:rsidRPr="009B5B67">
              <w:rPr>
                <w:rFonts w:cstheme="minorHAnsi"/>
                <w:szCs w:val="20"/>
                <w:lang w:val="en-GB"/>
              </w:rPr>
              <w:t xml:space="preserve">The </w:t>
            </w:r>
            <w:proofErr w:type="gramStart"/>
            <w:r w:rsidRPr="009B5B67">
              <w:rPr>
                <w:rFonts w:cstheme="minorHAnsi"/>
                <w:szCs w:val="20"/>
                <w:lang w:val="en-GB"/>
              </w:rPr>
              <w:t>time</w:t>
            </w:r>
            <w:r w:rsidR="00EA7BC1" w:rsidRPr="009B5B67">
              <w:rPr>
                <w:rFonts w:cstheme="minorHAnsi"/>
                <w:szCs w:val="20"/>
                <w:lang w:val="en-GB"/>
              </w:rPr>
              <w:t>-</w:t>
            </w:r>
            <w:r w:rsidRPr="009B5B67">
              <w:rPr>
                <w:rFonts w:cstheme="minorHAnsi"/>
                <w:szCs w:val="20"/>
                <w:lang w:val="en-GB"/>
              </w:rPr>
              <w:t>frame</w:t>
            </w:r>
            <w:proofErr w:type="gramEnd"/>
            <w:r w:rsidRPr="009B5B67">
              <w:rPr>
                <w:rFonts w:cstheme="minorHAnsi"/>
                <w:szCs w:val="20"/>
                <w:lang w:val="en-GB"/>
              </w:rPr>
              <w:t xml:space="preserve"> for implementation is from</w:t>
            </w:r>
            <w:r w:rsidRPr="009B5B67">
              <w:rPr>
                <w:rFonts w:cstheme="minorHAnsi"/>
                <w:b/>
                <w:szCs w:val="20"/>
                <w:lang w:val="en-GB"/>
              </w:rPr>
              <w:t xml:space="preserve"> 1</w:t>
            </w:r>
            <w:r w:rsidRPr="009B5B67">
              <w:rPr>
                <w:rFonts w:cstheme="minorHAnsi"/>
                <w:b/>
                <w:szCs w:val="20"/>
                <w:vertAlign w:val="superscript"/>
                <w:lang w:val="en-GB"/>
              </w:rPr>
              <w:t>st</w:t>
            </w:r>
            <w:r w:rsidRPr="009B5B67">
              <w:rPr>
                <w:rFonts w:cstheme="minorHAnsi"/>
                <w:b/>
                <w:szCs w:val="20"/>
                <w:lang w:val="en-GB"/>
              </w:rPr>
              <w:t xml:space="preserve"> January 2021 to 31</w:t>
            </w:r>
            <w:r w:rsidRPr="009B5B67">
              <w:rPr>
                <w:rFonts w:cstheme="minorHAnsi"/>
                <w:b/>
                <w:szCs w:val="20"/>
                <w:vertAlign w:val="superscript"/>
                <w:lang w:val="en-GB"/>
              </w:rPr>
              <w:t>st</w:t>
            </w:r>
            <w:r w:rsidRPr="009B5B67">
              <w:rPr>
                <w:rFonts w:cstheme="minorHAnsi"/>
                <w:b/>
                <w:szCs w:val="20"/>
                <w:lang w:val="en-GB"/>
              </w:rPr>
              <w:t xml:space="preserve"> December 2030</w:t>
            </w:r>
            <w:r w:rsidRPr="009B5B67">
              <w:rPr>
                <w:rFonts w:cstheme="minorHAnsi"/>
                <w:szCs w:val="20"/>
                <w:lang w:val="en-GB"/>
              </w:rPr>
              <w:t xml:space="preserve">. </w:t>
            </w:r>
          </w:p>
        </w:tc>
      </w:tr>
      <w:tr w:rsidR="00503AE8" w:rsidRPr="00080666" w14:paraId="3A395418" w14:textId="77777777" w:rsidTr="006C0393">
        <w:trPr>
          <w:trHeight w:val="20"/>
        </w:trPr>
        <w:tc>
          <w:tcPr>
            <w:tcW w:w="3686" w:type="dxa"/>
          </w:tcPr>
          <w:p w14:paraId="4379D050" w14:textId="77777777" w:rsidR="00503AE8" w:rsidRPr="009B5B67" w:rsidRDefault="00503AE8" w:rsidP="006C0393">
            <w:pPr>
              <w:tabs>
                <w:tab w:val="left" w:pos="2401"/>
                <w:tab w:val="left" w:pos="2402"/>
              </w:tabs>
              <w:spacing w:after="0"/>
              <w:ind w:left="322" w:hanging="322"/>
              <w:jc w:val="left"/>
              <w:rPr>
                <w:rFonts w:cstheme="minorHAnsi"/>
                <w:szCs w:val="20"/>
                <w:lang w:val="en-GB"/>
              </w:rPr>
            </w:pPr>
            <w:r w:rsidRPr="009B5B67">
              <w:rPr>
                <w:rFonts w:cstheme="minorHAnsi"/>
                <w:szCs w:val="20"/>
                <w:lang w:val="en-GB"/>
              </w:rPr>
              <w:t>(b)</w:t>
            </w:r>
            <w:r w:rsidRPr="009B5B67">
              <w:rPr>
                <w:rFonts w:cstheme="minorHAnsi"/>
                <w:szCs w:val="20"/>
                <w:lang w:val="en-GB"/>
              </w:rPr>
              <w:tab/>
              <w:t>Whether it is a single-year or multi-year target, as applicable.</w:t>
            </w:r>
          </w:p>
        </w:tc>
        <w:tc>
          <w:tcPr>
            <w:tcW w:w="6379" w:type="dxa"/>
          </w:tcPr>
          <w:p w14:paraId="333959DD" w14:textId="77777777" w:rsidR="00503AE8" w:rsidRPr="009B5B67" w:rsidRDefault="00503AE8" w:rsidP="00503AE8">
            <w:pPr>
              <w:tabs>
                <w:tab w:val="left" w:pos="2402"/>
              </w:tabs>
              <w:rPr>
                <w:rFonts w:cstheme="minorHAnsi"/>
                <w:b/>
                <w:szCs w:val="20"/>
                <w:lang w:val="en-GB"/>
              </w:rPr>
            </w:pPr>
            <w:r w:rsidRPr="009B5B67">
              <w:rPr>
                <w:rFonts w:cstheme="minorHAnsi"/>
                <w:b/>
                <w:szCs w:val="20"/>
                <w:lang w:val="en-GB"/>
              </w:rPr>
              <w:t>Single-year target established for 2030</w:t>
            </w:r>
          </w:p>
        </w:tc>
      </w:tr>
    </w:tbl>
    <w:p w14:paraId="445BEA45" w14:textId="77777777" w:rsidR="006C0393" w:rsidRPr="009B5B67" w:rsidRDefault="006C0393">
      <w:pPr>
        <w:rPr>
          <w:lang w:val="en-GB"/>
        </w:rPr>
      </w:pPr>
    </w:p>
    <w:tbl>
      <w:tblPr>
        <w:tblStyle w:val="TableGrid"/>
        <w:tblW w:w="10065" w:type="dxa"/>
        <w:tblInd w:w="-5" w:type="dxa"/>
        <w:tblCellMar>
          <w:top w:w="108" w:type="dxa"/>
          <w:bottom w:w="108" w:type="dxa"/>
        </w:tblCellMar>
        <w:tblLook w:val="04A0" w:firstRow="1" w:lastRow="0" w:firstColumn="1" w:lastColumn="0" w:noHBand="0" w:noVBand="1"/>
      </w:tblPr>
      <w:tblGrid>
        <w:gridCol w:w="3686"/>
        <w:gridCol w:w="6379"/>
      </w:tblGrid>
      <w:tr w:rsidR="00503AE8" w:rsidRPr="009B5B67" w14:paraId="01A5E016" w14:textId="77777777" w:rsidTr="00FB63E4">
        <w:trPr>
          <w:trHeight w:val="20"/>
          <w:tblHeader/>
        </w:trPr>
        <w:tc>
          <w:tcPr>
            <w:tcW w:w="10065" w:type="dxa"/>
            <w:gridSpan w:val="2"/>
            <w:shd w:val="clear" w:color="auto" w:fill="D9E2F3" w:themeFill="accent1" w:themeFillTint="33"/>
          </w:tcPr>
          <w:p w14:paraId="153732D5" w14:textId="77777777" w:rsidR="00503AE8" w:rsidRPr="009B5B67" w:rsidRDefault="00503AE8" w:rsidP="009C316D">
            <w:pPr>
              <w:pStyle w:val="Heading6"/>
              <w:spacing w:after="0"/>
              <w:rPr>
                <w:rFonts w:asciiTheme="minorHAnsi" w:hAnsiTheme="minorHAnsi" w:cstheme="minorHAnsi"/>
                <w:lang w:val="en-GB"/>
              </w:rPr>
            </w:pPr>
            <w:bookmarkStart w:id="19" w:name="_Toc56411146"/>
            <w:r w:rsidRPr="009B5B67">
              <w:rPr>
                <w:lang w:val="en-GB"/>
              </w:rPr>
              <w:t xml:space="preserve">3. Scope and </w:t>
            </w:r>
            <w:r w:rsidR="009C316D" w:rsidRPr="009B5B67">
              <w:rPr>
                <w:lang w:val="en-GB"/>
              </w:rPr>
              <w:t>coverage</w:t>
            </w:r>
            <w:bookmarkEnd w:id="19"/>
          </w:p>
        </w:tc>
      </w:tr>
      <w:tr w:rsidR="00503AE8" w:rsidRPr="00080666" w14:paraId="323F6A33" w14:textId="77777777" w:rsidTr="006C0393">
        <w:trPr>
          <w:trHeight w:val="20"/>
        </w:trPr>
        <w:tc>
          <w:tcPr>
            <w:tcW w:w="3686" w:type="dxa"/>
          </w:tcPr>
          <w:p w14:paraId="53926323" w14:textId="77777777" w:rsidR="00503AE8" w:rsidRPr="009B5B67" w:rsidRDefault="00503AE8" w:rsidP="009C316D">
            <w:pPr>
              <w:keepNext/>
              <w:keepLines/>
              <w:tabs>
                <w:tab w:val="left" w:pos="2401"/>
                <w:tab w:val="left" w:pos="2402"/>
              </w:tabs>
              <w:ind w:left="323" w:hanging="323"/>
              <w:rPr>
                <w:rFonts w:cstheme="minorHAnsi"/>
                <w:szCs w:val="20"/>
                <w:lang w:val="en-GB"/>
              </w:rPr>
            </w:pPr>
            <w:r w:rsidRPr="009B5B67">
              <w:rPr>
                <w:rFonts w:cstheme="minorHAnsi"/>
                <w:szCs w:val="20"/>
                <w:lang w:val="en-GB"/>
              </w:rPr>
              <w:t>(a)</w:t>
            </w:r>
            <w:r w:rsidRPr="009B5B67">
              <w:rPr>
                <w:rFonts w:cstheme="minorHAnsi"/>
                <w:szCs w:val="20"/>
                <w:lang w:val="en-GB"/>
              </w:rPr>
              <w:tab/>
              <w:t>General description of the target;</w:t>
            </w:r>
          </w:p>
        </w:tc>
        <w:tc>
          <w:tcPr>
            <w:tcW w:w="6379" w:type="dxa"/>
          </w:tcPr>
          <w:p w14:paraId="31F229EE" w14:textId="074B8890" w:rsidR="00503AE8" w:rsidRPr="009B5B67" w:rsidRDefault="00503AE8" w:rsidP="004F7D79">
            <w:pPr>
              <w:keepLines/>
              <w:widowControl w:val="0"/>
              <w:autoSpaceDE w:val="0"/>
              <w:autoSpaceDN w:val="0"/>
              <w:spacing w:after="0"/>
              <w:rPr>
                <w:rFonts w:cstheme="minorHAnsi"/>
                <w:szCs w:val="20"/>
                <w:lang w:val="en-GB"/>
              </w:rPr>
            </w:pPr>
            <w:r w:rsidRPr="009B5B67">
              <w:rPr>
                <w:rFonts w:cstheme="minorHAnsi"/>
                <w:szCs w:val="20"/>
                <w:lang w:val="en-GB"/>
              </w:rPr>
              <w:t xml:space="preserve">The contribution determined for 2030 is an </w:t>
            </w:r>
            <w:proofErr w:type="gramStart"/>
            <w:r w:rsidRPr="009B5B67">
              <w:rPr>
                <w:rFonts w:cstheme="minorHAnsi"/>
                <w:b/>
                <w:szCs w:val="20"/>
                <w:lang w:val="en-GB"/>
              </w:rPr>
              <w:t>economy-wide</w:t>
            </w:r>
            <w:proofErr w:type="gramEnd"/>
            <w:r w:rsidRPr="009B5B67">
              <w:rPr>
                <w:rFonts w:cstheme="minorHAnsi"/>
                <w:b/>
                <w:szCs w:val="20"/>
                <w:lang w:val="en-GB"/>
              </w:rPr>
              <w:t xml:space="preserve"> GHG reduction target</w:t>
            </w:r>
            <w:r w:rsidRPr="009B5B67">
              <w:rPr>
                <w:rFonts w:cstheme="minorHAnsi"/>
                <w:szCs w:val="20"/>
                <w:lang w:val="en-GB"/>
              </w:rPr>
              <w:t>, expressed as relative reduction by 2030 compared to 2010.</w:t>
            </w:r>
          </w:p>
        </w:tc>
      </w:tr>
      <w:tr w:rsidR="00503AE8" w:rsidRPr="00080666" w14:paraId="0ADEBA6B" w14:textId="77777777" w:rsidTr="006C0393">
        <w:trPr>
          <w:trHeight w:val="20"/>
        </w:trPr>
        <w:tc>
          <w:tcPr>
            <w:tcW w:w="3686" w:type="dxa"/>
            <w:vMerge w:val="restart"/>
          </w:tcPr>
          <w:p w14:paraId="45D9FF18" w14:textId="77777777" w:rsidR="00503AE8" w:rsidRPr="009B5B67" w:rsidRDefault="00503AE8" w:rsidP="00503AE8">
            <w:pPr>
              <w:tabs>
                <w:tab w:val="left" w:pos="2401"/>
                <w:tab w:val="left" w:pos="2402"/>
              </w:tabs>
              <w:ind w:left="322" w:hanging="322"/>
              <w:rPr>
                <w:rFonts w:cstheme="minorHAnsi"/>
                <w:szCs w:val="20"/>
                <w:lang w:val="en-GB"/>
              </w:rPr>
            </w:pPr>
            <w:r w:rsidRPr="009B5B67">
              <w:rPr>
                <w:rFonts w:cstheme="minorHAnsi"/>
                <w:szCs w:val="20"/>
                <w:lang w:val="en-GB"/>
              </w:rPr>
              <w:t>(b)</w:t>
            </w:r>
            <w:r w:rsidRPr="009B5B67">
              <w:rPr>
                <w:rFonts w:cstheme="minorHAnsi"/>
                <w:szCs w:val="20"/>
                <w:lang w:val="en-GB"/>
              </w:rPr>
              <w:tab/>
              <w:t xml:space="preserve">Sectors, gases, </w:t>
            </w:r>
            <w:proofErr w:type="gramStart"/>
            <w:r w:rsidRPr="009B5B67">
              <w:rPr>
                <w:rFonts w:cstheme="minorHAnsi"/>
                <w:szCs w:val="20"/>
                <w:lang w:val="en-GB"/>
              </w:rPr>
              <w:t>categories</w:t>
            </w:r>
            <w:proofErr w:type="gramEnd"/>
            <w:r w:rsidRPr="009B5B67">
              <w:rPr>
                <w:rFonts w:cstheme="minorHAnsi"/>
                <w:szCs w:val="20"/>
                <w:lang w:val="en-GB"/>
              </w:rPr>
              <w:t xml:space="preserve"> and pools covered by the nationally determined contribution, including, as applicable, consistent with Intergovernmental Panel on Climate Change (IPCC) guidelines;</w:t>
            </w:r>
          </w:p>
        </w:tc>
        <w:tc>
          <w:tcPr>
            <w:tcW w:w="6379" w:type="dxa"/>
          </w:tcPr>
          <w:p w14:paraId="69B93489" w14:textId="77777777" w:rsidR="00503AE8" w:rsidRPr="009B5B67" w:rsidRDefault="00503AE8" w:rsidP="00394FD2">
            <w:pPr>
              <w:tabs>
                <w:tab w:val="left" w:pos="2271"/>
              </w:tabs>
              <w:ind w:left="2271" w:hanging="2271"/>
              <w:jc w:val="left"/>
              <w:rPr>
                <w:rFonts w:cstheme="minorHAnsi"/>
                <w:szCs w:val="20"/>
                <w:lang w:val="en-GB"/>
              </w:rPr>
            </w:pPr>
            <w:r w:rsidRPr="009B5B67">
              <w:rPr>
                <w:rFonts w:cstheme="minorHAnsi"/>
                <w:b/>
                <w:szCs w:val="20"/>
                <w:lang w:val="en-GB"/>
              </w:rPr>
              <w:t>Included IPCC Sectors:</w:t>
            </w:r>
            <w:r w:rsidRPr="009B5B67">
              <w:rPr>
                <w:rFonts w:cstheme="minorHAnsi"/>
                <w:szCs w:val="20"/>
                <w:lang w:val="en-GB"/>
              </w:rPr>
              <w:t xml:space="preserve"> Energy, Industrial processes and product use (IPPU), </w:t>
            </w:r>
            <w:r w:rsidR="00394FD2" w:rsidRPr="009B5B67">
              <w:rPr>
                <w:rFonts w:cstheme="minorHAnsi"/>
                <w:szCs w:val="20"/>
                <w:lang w:val="en-GB"/>
              </w:rPr>
              <w:br/>
            </w:r>
            <w:proofErr w:type="gramStart"/>
            <w:r w:rsidRPr="009B5B67">
              <w:rPr>
                <w:rFonts w:cstheme="minorHAnsi"/>
                <w:szCs w:val="20"/>
                <w:lang w:val="en-GB"/>
              </w:rPr>
              <w:t>Agriculture,  Waste</w:t>
            </w:r>
            <w:proofErr w:type="gramEnd"/>
          </w:p>
          <w:p w14:paraId="7786202A" w14:textId="34F7B416" w:rsidR="00503AE8" w:rsidRPr="009B5B67" w:rsidRDefault="00503AE8" w:rsidP="003A5B8C">
            <w:pPr>
              <w:keepLines/>
              <w:tabs>
                <w:tab w:val="left" w:pos="2402"/>
              </w:tabs>
              <w:spacing w:after="0"/>
              <w:ind w:left="2447" w:hanging="2447"/>
              <w:rPr>
                <w:rFonts w:cstheme="minorHAnsi"/>
                <w:szCs w:val="20"/>
                <w:lang w:val="en-GB"/>
              </w:rPr>
            </w:pPr>
            <w:r w:rsidRPr="009B5B67">
              <w:rPr>
                <w:rFonts w:cstheme="minorHAnsi"/>
                <w:b/>
                <w:szCs w:val="20"/>
                <w:lang w:val="en-GB"/>
              </w:rPr>
              <w:t>Excluded IPCC Sectors:</w:t>
            </w:r>
            <w:r w:rsidRPr="009B5B67">
              <w:rPr>
                <w:rFonts w:cstheme="minorHAnsi"/>
                <w:szCs w:val="20"/>
                <w:lang w:val="en-GB"/>
              </w:rPr>
              <w:t xml:space="preserve"> Land use, Land use change and Forestry (LULUCF)</w:t>
            </w:r>
            <w:r w:rsidR="003A5B8C" w:rsidRPr="009B5B67">
              <w:rPr>
                <w:rFonts w:cstheme="minorHAnsi"/>
                <w:szCs w:val="20"/>
                <w:lang w:val="en-GB"/>
              </w:rPr>
              <w:t xml:space="preserve"> </w:t>
            </w:r>
            <w:r w:rsidRPr="009B5B67">
              <w:rPr>
                <w:rFonts w:cstheme="minorHAnsi"/>
                <w:szCs w:val="20"/>
                <w:lang w:val="en-GB"/>
              </w:rPr>
              <w:t xml:space="preserve">- due to lack of sufficient activity data, emission factors and parameters necessary for accurate estimation of GHG emission reduction. </w:t>
            </w:r>
          </w:p>
          <w:p w14:paraId="6F8CE29E" w14:textId="77777777" w:rsidR="00503AE8" w:rsidRPr="009B5B67" w:rsidRDefault="00503AE8" w:rsidP="003A5B8C">
            <w:pPr>
              <w:widowControl w:val="0"/>
              <w:tabs>
                <w:tab w:val="left" w:pos="2402"/>
              </w:tabs>
              <w:autoSpaceDE w:val="0"/>
              <w:autoSpaceDN w:val="0"/>
              <w:spacing w:after="0"/>
              <w:rPr>
                <w:rFonts w:cstheme="minorHAnsi"/>
                <w:szCs w:val="20"/>
                <w:lang w:val="en-GB"/>
              </w:rPr>
            </w:pPr>
            <w:r w:rsidRPr="009B5B67">
              <w:rPr>
                <w:rFonts w:cstheme="minorHAnsi"/>
                <w:szCs w:val="20"/>
                <w:lang w:val="en-GB"/>
              </w:rPr>
              <w:t>LULUCF was also not included in the first NDC.</w:t>
            </w:r>
          </w:p>
        </w:tc>
      </w:tr>
      <w:tr w:rsidR="00503AE8" w:rsidRPr="009B5B67" w14:paraId="477C78C2" w14:textId="77777777" w:rsidTr="006C0393">
        <w:trPr>
          <w:trHeight w:val="20"/>
        </w:trPr>
        <w:tc>
          <w:tcPr>
            <w:tcW w:w="3686" w:type="dxa"/>
            <w:vMerge/>
          </w:tcPr>
          <w:p w14:paraId="1DA24775" w14:textId="77777777" w:rsidR="00503AE8" w:rsidRPr="009B5B67" w:rsidRDefault="00503AE8" w:rsidP="00FD3D9F">
            <w:pPr>
              <w:pStyle w:val="ListParagraph"/>
              <w:widowControl w:val="0"/>
              <w:numPr>
                <w:ilvl w:val="1"/>
                <w:numId w:val="3"/>
              </w:numPr>
              <w:tabs>
                <w:tab w:val="left" w:pos="2402"/>
              </w:tabs>
              <w:autoSpaceDE w:val="0"/>
              <w:autoSpaceDN w:val="0"/>
              <w:ind w:left="709" w:hanging="425"/>
              <w:contextualSpacing w:val="0"/>
              <w:rPr>
                <w:rFonts w:cstheme="minorHAnsi"/>
                <w:szCs w:val="20"/>
                <w:lang w:val="en-GB"/>
              </w:rPr>
            </w:pPr>
          </w:p>
        </w:tc>
        <w:tc>
          <w:tcPr>
            <w:tcW w:w="6379" w:type="dxa"/>
          </w:tcPr>
          <w:p w14:paraId="759C09E6" w14:textId="77777777" w:rsidR="00503AE8" w:rsidRPr="009B5B67" w:rsidRDefault="00503AE8" w:rsidP="00503AE8">
            <w:pPr>
              <w:tabs>
                <w:tab w:val="left" w:pos="2402"/>
              </w:tabs>
              <w:rPr>
                <w:rFonts w:cstheme="minorHAnsi"/>
                <w:szCs w:val="20"/>
                <w:lang w:val="en-GB"/>
              </w:rPr>
            </w:pPr>
            <w:r w:rsidRPr="009B5B67">
              <w:rPr>
                <w:rFonts w:cstheme="minorHAnsi"/>
                <w:b/>
                <w:szCs w:val="20"/>
                <w:lang w:val="en-GB"/>
              </w:rPr>
              <w:t>Gases covered:</w:t>
            </w:r>
            <w:r w:rsidRPr="009B5B67">
              <w:rPr>
                <w:rFonts w:cstheme="minorHAnsi"/>
                <w:szCs w:val="20"/>
                <w:lang w:val="en-GB"/>
              </w:rPr>
              <w:t xml:space="preserve"> all greenhouse gases (GHG) not controlled by the Montreal Protocol – carbon dioxide (CO</w:t>
            </w:r>
            <w:r w:rsidRPr="009B5B67">
              <w:rPr>
                <w:rFonts w:cstheme="minorHAnsi"/>
                <w:szCs w:val="20"/>
                <w:vertAlign w:val="subscript"/>
                <w:lang w:val="en-GB"/>
              </w:rPr>
              <w:t>2</w:t>
            </w:r>
            <w:r w:rsidRPr="009B5B67">
              <w:rPr>
                <w:rFonts w:cstheme="minorHAnsi"/>
                <w:szCs w:val="20"/>
                <w:lang w:val="en-GB"/>
              </w:rPr>
              <w:t>), methane (CH</w:t>
            </w:r>
            <w:r w:rsidRPr="009B5B67">
              <w:rPr>
                <w:rFonts w:cstheme="minorHAnsi"/>
                <w:szCs w:val="20"/>
                <w:vertAlign w:val="subscript"/>
                <w:lang w:val="en-GB"/>
              </w:rPr>
              <w:t>4</w:t>
            </w:r>
            <w:r w:rsidRPr="009B5B67">
              <w:rPr>
                <w:rFonts w:cstheme="minorHAnsi"/>
                <w:szCs w:val="20"/>
                <w:lang w:val="en-GB"/>
              </w:rPr>
              <w:t xml:space="preserve">), nitrous </w:t>
            </w:r>
            <w:r w:rsidRPr="009B5B67">
              <w:rPr>
                <w:rFonts w:cstheme="minorHAnsi"/>
                <w:szCs w:val="20"/>
                <w:lang w:val="en-GB"/>
              </w:rPr>
              <w:lastRenderedPageBreak/>
              <w:t>oxide (N</w:t>
            </w:r>
            <w:r w:rsidRPr="009B5B67">
              <w:rPr>
                <w:rFonts w:cstheme="minorHAnsi"/>
                <w:szCs w:val="20"/>
                <w:vertAlign w:val="subscript"/>
                <w:lang w:val="en-GB"/>
              </w:rPr>
              <w:t>2</w:t>
            </w:r>
            <w:r w:rsidRPr="009B5B67">
              <w:rPr>
                <w:rFonts w:cstheme="minorHAnsi"/>
                <w:szCs w:val="20"/>
                <w:lang w:val="en-GB"/>
              </w:rPr>
              <w:t>O), perfluorocarbons (PFCs), hydrofluorocarbons (HFCs), sulphur hexafluoride (SF</w:t>
            </w:r>
            <w:r w:rsidRPr="009B5B67">
              <w:rPr>
                <w:rFonts w:cstheme="minorHAnsi"/>
                <w:szCs w:val="20"/>
                <w:vertAlign w:val="subscript"/>
                <w:lang w:val="en-GB"/>
              </w:rPr>
              <w:t>6</w:t>
            </w:r>
            <w:r w:rsidRPr="009B5B67">
              <w:rPr>
                <w:rFonts w:cstheme="minorHAnsi"/>
                <w:szCs w:val="20"/>
                <w:lang w:val="en-GB"/>
              </w:rPr>
              <w:t>) and nitrogen trifluoride (NF</w:t>
            </w:r>
            <w:r w:rsidRPr="009B5B67">
              <w:rPr>
                <w:rFonts w:cstheme="minorHAnsi"/>
                <w:szCs w:val="20"/>
                <w:vertAlign w:val="subscript"/>
                <w:lang w:val="en-GB"/>
              </w:rPr>
              <w:t>3</w:t>
            </w:r>
            <w:r w:rsidRPr="009B5B67">
              <w:rPr>
                <w:rFonts w:cstheme="minorHAnsi"/>
                <w:szCs w:val="20"/>
                <w:lang w:val="en-GB"/>
              </w:rPr>
              <w:t>).</w:t>
            </w:r>
          </w:p>
          <w:p w14:paraId="7E34B7CF" w14:textId="77777777" w:rsidR="00503AE8" w:rsidRPr="009B5B67" w:rsidRDefault="00503AE8" w:rsidP="00F856F5">
            <w:pPr>
              <w:widowControl w:val="0"/>
              <w:tabs>
                <w:tab w:val="left" w:pos="2402"/>
              </w:tabs>
              <w:autoSpaceDE w:val="0"/>
              <w:autoSpaceDN w:val="0"/>
              <w:spacing w:after="0"/>
              <w:ind w:left="357" w:hanging="357"/>
              <w:rPr>
                <w:rFonts w:cstheme="minorHAnsi"/>
                <w:szCs w:val="20"/>
                <w:lang w:val="en-GB"/>
              </w:rPr>
            </w:pPr>
            <w:r w:rsidRPr="009B5B67">
              <w:rPr>
                <w:rFonts w:cstheme="minorHAnsi"/>
                <w:b/>
                <w:szCs w:val="20"/>
                <w:lang w:val="en-GB"/>
              </w:rPr>
              <w:t>Carbon pools</w:t>
            </w:r>
            <w:r w:rsidRPr="009B5B67">
              <w:rPr>
                <w:rFonts w:cstheme="minorHAnsi"/>
                <w:szCs w:val="20"/>
                <w:lang w:val="en-GB"/>
              </w:rPr>
              <w:t>: not applicable</w:t>
            </w:r>
          </w:p>
        </w:tc>
      </w:tr>
      <w:tr w:rsidR="00503AE8" w:rsidRPr="009B5B67" w14:paraId="5E59EA63" w14:textId="77777777" w:rsidTr="001B523C">
        <w:trPr>
          <w:trHeight w:val="20"/>
        </w:trPr>
        <w:tc>
          <w:tcPr>
            <w:tcW w:w="3686" w:type="dxa"/>
          </w:tcPr>
          <w:p w14:paraId="56F3F574" w14:textId="77777777" w:rsidR="00503AE8" w:rsidRPr="009B5B67" w:rsidRDefault="00503AE8" w:rsidP="00FB63E4">
            <w:pPr>
              <w:keepLines/>
              <w:tabs>
                <w:tab w:val="left" w:pos="2401"/>
                <w:tab w:val="left" w:pos="2402"/>
              </w:tabs>
              <w:ind w:left="322" w:hanging="322"/>
              <w:rPr>
                <w:rFonts w:cstheme="minorHAnsi"/>
                <w:szCs w:val="20"/>
                <w:lang w:val="en-GB"/>
              </w:rPr>
            </w:pPr>
            <w:r w:rsidRPr="009B5B67">
              <w:rPr>
                <w:rFonts w:cstheme="minorHAnsi"/>
                <w:szCs w:val="20"/>
                <w:lang w:val="en-GB"/>
              </w:rPr>
              <w:lastRenderedPageBreak/>
              <w:t>(c)</w:t>
            </w:r>
            <w:r w:rsidRPr="009B5B67">
              <w:rPr>
                <w:rFonts w:cstheme="minorHAnsi"/>
                <w:szCs w:val="20"/>
                <w:lang w:val="en-GB"/>
              </w:rPr>
              <w:tab/>
              <w:t>How the Party has taken into consideration paragraph 31(c) and (d) of decision 1/CP.21;</w:t>
            </w:r>
          </w:p>
        </w:tc>
        <w:tc>
          <w:tcPr>
            <w:tcW w:w="6379" w:type="dxa"/>
            <w:shd w:val="clear" w:color="auto" w:fill="auto"/>
          </w:tcPr>
          <w:p w14:paraId="681C58DA" w14:textId="77777777" w:rsidR="00503AE8" w:rsidRPr="009B5B67" w:rsidRDefault="00503AE8" w:rsidP="00FB63E4">
            <w:pPr>
              <w:keepNext/>
              <w:keepLines/>
              <w:tabs>
                <w:tab w:val="left" w:pos="2402"/>
              </w:tabs>
              <w:spacing w:after="0"/>
              <w:rPr>
                <w:rFonts w:cstheme="minorHAnsi"/>
                <w:szCs w:val="20"/>
                <w:lang w:val="en-GB"/>
              </w:rPr>
            </w:pPr>
            <w:r w:rsidRPr="009B5B67">
              <w:rPr>
                <w:rFonts w:cstheme="minorHAnsi"/>
                <w:b/>
                <w:szCs w:val="20"/>
                <w:lang w:val="en-GB"/>
              </w:rPr>
              <w:t xml:space="preserve">Applied IPCC Guidelines: </w:t>
            </w:r>
            <w:r w:rsidRPr="009B5B67">
              <w:rPr>
                <w:rFonts w:cstheme="minorHAnsi"/>
                <w:szCs w:val="20"/>
                <w:lang w:val="en-GB"/>
              </w:rPr>
              <w:t xml:space="preserve">The national GHG inventory (emissions by sources and removals by sinks) is prepared in accordance with the </w:t>
            </w:r>
            <w:r w:rsidR="004C5676" w:rsidRPr="009B5B67">
              <w:rPr>
                <w:rFonts w:cstheme="minorHAnsi"/>
                <w:szCs w:val="20"/>
                <w:lang w:val="en-GB"/>
              </w:rPr>
              <w:t xml:space="preserve">2006 IPCC Guidelines for National Greenhouse Gas Inventories </w:t>
            </w:r>
            <w:r w:rsidRPr="009B5B67">
              <w:rPr>
                <w:rFonts w:cstheme="minorHAnsi"/>
                <w:szCs w:val="20"/>
                <w:lang w:val="en-GB"/>
              </w:rPr>
              <w:t>and the 2013 Supplement to the 2006 IPCC Guidelines for the National Greenhouse Gas Inventories - Wetlands (IPCC 2013 Wetlands Supplement).</w:t>
            </w:r>
          </w:p>
          <w:p w14:paraId="22898AC0" w14:textId="77777777" w:rsidR="00503AE8" w:rsidRPr="009B5B67" w:rsidRDefault="00503AE8" w:rsidP="00FB63E4">
            <w:pPr>
              <w:keepNext/>
              <w:keepLines/>
              <w:tabs>
                <w:tab w:val="left" w:pos="2402"/>
              </w:tabs>
              <w:rPr>
                <w:rFonts w:cstheme="minorHAnsi"/>
                <w:szCs w:val="20"/>
                <w:lang w:val="en-GB"/>
              </w:rPr>
            </w:pPr>
            <w:r w:rsidRPr="009B5B67">
              <w:rPr>
                <w:rFonts w:cstheme="minorHAnsi"/>
                <w:szCs w:val="20"/>
                <w:lang w:val="en-GB"/>
              </w:rPr>
              <w:t xml:space="preserve">The Republic of Serbia </w:t>
            </w:r>
            <w:r w:rsidR="00D10C7D" w:rsidRPr="009B5B67">
              <w:rPr>
                <w:rFonts w:cstheme="minorHAnsi"/>
                <w:szCs w:val="20"/>
                <w:lang w:val="en-GB"/>
              </w:rPr>
              <w:t xml:space="preserve">takes note of </w:t>
            </w:r>
            <w:r w:rsidRPr="009B5B67">
              <w:rPr>
                <w:rFonts w:cstheme="minorHAnsi"/>
                <w:szCs w:val="20"/>
                <w:lang w:val="en-GB"/>
              </w:rPr>
              <w:t>futu</w:t>
            </w:r>
            <w:r w:rsidR="004C5676" w:rsidRPr="009B5B67">
              <w:rPr>
                <w:rFonts w:cstheme="minorHAnsi"/>
                <w:szCs w:val="20"/>
                <w:lang w:val="en-GB"/>
              </w:rPr>
              <w:t xml:space="preserve">re application of the 2019 </w:t>
            </w:r>
            <w:r w:rsidRPr="009B5B67">
              <w:rPr>
                <w:rFonts w:cstheme="minorHAnsi"/>
                <w:szCs w:val="20"/>
                <w:lang w:val="en-GB"/>
              </w:rPr>
              <w:t>Refinement to the 2006 IPCC Guidelines for National Greenhouse Gas Inventories</w:t>
            </w:r>
            <w:r w:rsidRPr="009B5B67">
              <w:rPr>
                <w:rStyle w:val="FootnoteReference"/>
                <w:rFonts w:cstheme="minorHAnsi"/>
                <w:szCs w:val="20"/>
                <w:lang w:val="en-GB"/>
              </w:rPr>
              <w:footnoteReference w:id="4"/>
            </w:r>
            <w:r w:rsidRPr="009B5B67">
              <w:rPr>
                <w:rFonts w:cstheme="minorHAnsi"/>
                <w:szCs w:val="20"/>
                <w:lang w:val="en-GB"/>
              </w:rPr>
              <w:t>.</w:t>
            </w:r>
          </w:p>
          <w:p w14:paraId="119C9C47" w14:textId="6A992416" w:rsidR="00503AE8" w:rsidRPr="009B5B67" w:rsidRDefault="00503AE8" w:rsidP="00FB63E4">
            <w:pPr>
              <w:keepNext/>
              <w:keepLines/>
              <w:tabs>
                <w:tab w:val="left" w:pos="2402"/>
              </w:tabs>
              <w:spacing w:after="0"/>
              <w:rPr>
                <w:rFonts w:cstheme="minorHAnsi"/>
                <w:szCs w:val="20"/>
                <w:lang w:val="en-GB"/>
              </w:rPr>
            </w:pPr>
            <w:r w:rsidRPr="009B5B67">
              <w:rPr>
                <w:rFonts w:cstheme="minorHAnsi"/>
                <w:szCs w:val="20"/>
                <w:lang w:val="en-GB"/>
              </w:rPr>
              <w:t xml:space="preserve">There are several activities </w:t>
            </w:r>
            <w:r w:rsidR="00101048" w:rsidRPr="009B5B67">
              <w:rPr>
                <w:rFonts w:cstheme="minorHAnsi"/>
                <w:szCs w:val="20"/>
                <w:lang w:val="en-GB"/>
              </w:rPr>
              <w:t>which can</w:t>
            </w:r>
            <w:r w:rsidRPr="009B5B67">
              <w:rPr>
                <w:rFonts w:cstheme="minorHAnsi"/>
                <w:szCs w:val="20"/>
                <w:lang w:val="en-GB"/>
              </w:rPr>
              <w:t xml:space="preserve">not </w:t>
            </w:r>
            <w:r w:rsidR="00101048" w:rsidRPr="009B5B67">
              <w:rPr>
                <w:rFonts w:cstheme="minorHAnsi"/>
                <w:szCs w:val="20"/>
                <w:lang w:val="en-GB"/>
              </w:rPr>
              <w:t xml:space="preserve">be </w:t>
            </w:r>
            <w:r w:rsidRPr="009B5B67">
              <w:rPr>
                <w:rFonts w:cstheme="minorHAnsi"/>
                <w:szCs w:val="20"/>
                <w:lang w:val="en-GB"/>
              </w:rPr>
              <w:t xml:space="preserve">estimated due to lack of data: </w:t>
            </w:r>
          </w:p>
          <w:p w14:paraId="40240FEF" w14:textId="77777777" w:rsidR="00503AE8" w:rsidRPr="009B5B67" w:rsidRDefault="00503AE8" w:rsidP="00FB63E4">
            <w:pPr>
              <w:pStyle w:val="ListParagraph"/>
              <w:keepNext/>
              <w:keepLines/>
              <w:widowControl w:val="0"/>
              <w:numPr>
                <w:ilvl w:val="0"/>
                <w:numId w:val="4"/>
              </w:numPr>
              <w:tabs>
                <w:tab w:val="left" w:pos="2402"/>
              </w:tabs>
              <w:autoSpaceDE w:val="0"/>
              <w:autoSpaceDN w:val="0"/>
              <w:spacing w:after="0"/>
              <w:ind w:left="281" w:hanging="249"/>
              <w:contextualSpacing w:val="0"/>
              <w:rPr>
                <w:rFonts w:cstheme="minorHAnsi"/>
                <w:szCs w:val="20"/>
                <w:lang w:val="en-GB"/>
              </w:rPr>
            </w:pPr>
            <w:r w:rsidRPr="009B5B67">
              <w:rPr>
                <w:rFonts w:cstheme="minorHAnsi"/>
                <w:szCs w:val="20"/>
                <w:lang w:val="en-GB"/>
              </w:rPr>
              <w:t xml:space="preserve">Use of fluorinated gases as foam blowing agents, in fire protection equipment and electrical </w:t>
            </w:r>
            <w:proofErr w:type="gramStart"/>
            <w:r w:rsidRPr="009B5B67">
              <w:rPr>
                <w:rFonts w:cstheme="minorHAnsi"/>
                <w:szCs w:val="20"/>
                <w:lang w:val="en-GB"/>
              </w:rPr>
              <w:t>equipment;</w:t>
            </w:r>
            <w:proofErr w:type="gramEnd"/>
            <w:r w:rsidRPr="009B5B67">
              <w:rPr>
                <w:rFonts w:cstheme="minorHAnsi"/>
                <w:szCs w:val="20"/>
                <w:lang w:val="en-GB"/>
              </w:rPr>
              <w:t xml:space="preserve"> </w:t>
            </w:r>
          </w:p>
          <w:p w14:paraId="428409E2" w14:textId="77777777" w:rsidR="00503AE8" w:rsidRPr="009B5B67" w:rsidRDefault="00503AE8" w:rsidP="00FB63E4">
            <w:pPr>
              <w:pStyle w:val="ListParagraph"/>
              <w:keepNext/>
              <w:keepLines/>
              <w:widowControl w:val="0"/>
              <w:numPr>
                <w:ilvl w:val="0"/>
                <w:numId w:val="4"/>
              </w:numPr>
              <w:tabs>
                <w:tab w:val="left" w:pos="2402"/>
              </w:tabs>
              <w:autoSpaceDE w:val="0"/>
              <w:autoSpaceDN w:val="0"/>
              <w:spacing w:after="0"/>
              <w:ind w:left="281" w:hanging="249"/>
              <w:contextualSpacing w:val="0"/>
              <w:rPr>
                <w:rFonts w:cstheme="minorHAnsi"/>
                <w:szCs w:val="20"/>
                <w:lang w:val="en-GB"/>
              </w:rPr>
            </w:pPr>
            <w:r w:rsidRPr="009B5B67">
              <w:rPr>
                <w:rFonts w:cstheme="minorHAnsi"/>
                <w:szCs w:val="20"/>
                <w:lang w:val="en-GB"/>
              </w:rPr>
              <w:t xml:space="preserve">Liming </w:t>
            </w:r>
            <w:proofErr w:type="gramStart"/>
            <w:r w:rsidRPr="009B5B67">
              <w:rPr>
                <w:rFonts w:cstheme="minorHAnsi"/>
                <w:szCs w:val="20"/>
                <w:lang w:val="en-GB"/>
              </w:rPr>
              <w:t>activities</w:t>
            </w:r>
            <w:r w:rsidR="00F26AF5" w:rsidRPr="009B5B67">
              <w:rPr>
                <w:rFonts w:cstheme="minorHAnsi"/>
                <w:szCs w:val="20"/>
                <w:lang w:val="en-GB"/>
              </w:rPr>
              <w:t>;</w:t>
            </w:r>
            <w:proofErr w:type="gramEnd"/>
            <w:r w:rsidRPr="009B5B67">
              <w:rPr>
                <w:rFonts w:cstheme="minorHAnsi"/>
                <w:szCs w:val="20"/>
                <w:lang w:val="en-GB"/>
              </w:rPr>
              <w:t xml:space="preserve"> </w:t>
            </w:r>
          </w:p>
          <w:p w14:paraId="54AF2637" w14:textId="18EF0AC0" w:rsidR="00D10C7D" w:rsidRPr="009B5B67" w:rsidRDefault="00503AE8" w:rsidP="00FB63E4">
            <w:pPr>
              <w:pStyle w:val="ListParagraph"/>
              <w:keepNext/>
              <w:keepLines/>
              <w:widowControl w:val="0"/>
              <w:numPr>
                <w:ilvl w:val="0"/>
                <w:numId w:val="4"/>
              </w:numPr>
              <w:tabs>
                <w:tab w:val="left" w:pos="2402"/>
              </w:tabs>
              <w:autoSpaceDE w:val="0"/>
              <w:autoSpaceDN w:val="0"/>
              <w:spacing w:after="0"/>
              <w:ind w:left="281" w:hanging="249"/>
              <w:contextualSpacing w:val="0"/>
              <w:rPr>
                <w:rFonts w:cstheme="minorHAnsi"/>
                <w:szCs w:val="20"/>
                <w:lang w:val="en-GB"/>
              </w:rPr>
            </w:pPr>
            <w:r w:rsidRPr="009B5B67">
              <w:rPr>
                <w:rFonts w:cstheme="minorHAnsi"/>
                <w:szCs w:val="20"/>
                <w:lang w:val="en-GB"/>
              </w:rPr>
              <w:t>Open burning</w:t>
            </w:r>
            <w:r w:rsidR="00F26AF5" w:rsidRPr="009B5B67">
              <w:rPr>
                <w:rFonts w:cstheme="minorHAnsi"/>
                <w:szCs w:val="20"/>
                <w:lang w:val="en-GB"/>
              </w:rPr>
              <w:t>.</w:t>
            </w:r>
            <w:r w:rsidRPr="009B5B67">
              <w:rPr>
                <w:rFonts w:cstheme="minorHAnsi"/>
                <w:szCs w:val="20"/>
                <w:lang w:val="en-GB"/>
              </w:rPr>
              <w:t xml:space="preserve"> </w:t>
            </w:r>
          </w:p>
        </w:tc>
      </w:tr>
      <w:tr w:rsidR="00503AE8" w:rsidRPr="00080666" w14:paraId="4E9FE9C4" w14:textId="77777777" w:rsidTr="006C0393">
        <w:trPr>
          <w:trHeight w:val="20"/>
        </w:trPr>
        <w:tc>
          <w:tcPr>
            <w:tcW w:w="3686" w:type="dxa"/>
            <w:shd w:val="clear" w:color="auto" w:fill="auto"/>
          </w:tcPr>
          <w:p w14:paraId="3A81D313" w14:textId="77777777" w:rsidR="00503AE8" w:rsidRPr="009B5B67" w:rsidRDefault="00503AE8" w:rsidP="00F26AF5">
            <w:pPr>
              <w:keepLines/>
              <w:tabs>
                <w:tab w:val="left" w:pos="2401"/>
                <w:tab w:val="left" w:pos="2402"/>
              </w:tabs>
              <w:ind w:left="322" w:hanging="322"/>
              <w:rPr>
                <w:rFonts w:cstheme="minorHAnsi"/>
                <w:szCs w:val="20"/>
                <w:lang w:val="en-GB"/>
              </w:rPr>
            </w:pPr>
            <w:r w:rsidRPr="009B5B67">
              <w:rPr>
                <w:rFonts w:cstheme="minorHAnsi"/>
                <w:szCs w:val="20"/>
                <w:lang w:val="en-GB"/>
              </w:rPr>
              <w:t>(d)</w:t>
            </w:r>
            <w:r w:rsidRPr="009B5B67">
              <w:rPr>
                <w:rFonts w:cstheme="minorHAnsi"/>
                <w:szCs w:val="20"/>
                <w:lang w:val="en-GB"/>
              </w:rPr>
              <w:tab/>
              <w:t xml:space="preserve">Mitigation co-benefits resulting from Parties’ adaptation actions and/or economic diversification plans, including description of specific projects, </w:t>
            </w:r>
            <w:proofErr w:type="gramStart"/>
            <w:r w:rsidRPr="009B5B67">
              <w:rPr>
                <w:rFonts w:cstheme="minorHAnsi"/>
                <w:szCs w:val="20"/>
                <w:lang w:val="en-GB"/>
              </w:rPr>
              <w:t>measures</w:t>
            </w:r>
            <w:proofErr w:type="gramEnd"/>
            <w:r w:rsidRPr="009B5B67">
              <w:rPr>
                <w:rFonts w:cstheme="minorHAnsi"/>
                <w:szCs w:val="20"/>
                <w:lang w:val="en-GB"/>
              </w:rPr>
              <w:t xml:space="preserve"> and initiatives of Parties’ adaptation actions and/or economic diversification plans.</w:t>
            </w:r>
          </w:p>
        </w:tc>
        <w:tc>
          <w:tcPr>
            <w:tcW w:w="6379" w:type="dxa"/>
            <w:shd w:val="clear" w:color="auto" w:fill="auto"/>
          </w:tcPr>
          <w:p w14:paraId="218B4417" w14:textId="40A07F93" w:rsidR="00503AE8" w:rsidRPr="009B5B67" w:rsidRDefault="00503AE8" w:rsidP="00FB63E4">
            <w:pPr>
              <w:keepLines/>
              <w:tabs>
                <w:tab w:val="left" w:pos="2402"/>
              </w:tabs>
              <w:spacing w:after="100"/>
              <w:rPr>
                <w:rFonts w:cstheme="minorHAnsi"/>
                <w:szCs w:val="20"/>
                <w:lang w:val="en-GB"/>
              </w:rPr>
            </w:pPr>
            <w:r w:rsidRPr="009B5B67">
              <w:rPr>
                <w:rFonts w:cstheme="minorHAnsi"/>
                <w:szCs w:val="20"/>
                <w:lang w:val="en-GB"/>
              </w:rPr>
              <w:t xml:space="preserve">The </w:t>
            </w:r>
            <w:r w:rsidRPr="009B5B67">
              <w:rPr>
                <w:rFonts w:cstheme="minorHAnsi"/>
                <w:color w:val="000000" w:themeColor="text1"/>
                <w:szCs w:val="20"/>
                <w:lang w:val="en-GB"/>
              </w:rPr>
              <w:t xml:space="preserve">implementation of the adaptation measures proposed in the </w:t>
            </w:r>
            <w:r w:rsidR="00CB0963" w:rsidRPr="009B5B67">
              <w:rPr>
                <w:rFonts w:cstheme="minorHAnsi"/>
                <w:color w:val="000000" w:themeColor="text1"/>
                <w:szCs w:val="20"/>
                <w:lang w:val="en-GB"/>
              </w:rPr>
              <w:t>Draft</w:t>
            </w:r>
            <w:r w:rsidR="00D220B0" w:rsidRPr="009B5B67">
              <w:rPr>
                <w:rFonts w:cstheme="minorHAnsi"/>
                <w:color w:val="000000" w:themeColor="text1"/>
                <w:szCs w:val="20"/>
                <w:lang w:val="en-GB"/>
              </w:rPr>
              <w:t xml:space="preserve"> </w:t>
            </w:r>
            <w:r w:rsidRPr="009B5B67">
              <w:rPr>
                <w:rFonts w:cstheme="minorHAnsi"/>
                <w:color w:val="000000" w:themeColor="text1"/>
                <w:szCs w:val="20"/>
                <w:lang w:val="en-GB"/>
              </w:rPr>
              <w:t xml:space="preserve">Low </w:t>
            </w:r>
            <w:r w:rsidRPr="009B5B67">
              <w:rPr>
                <w:rFonts w:cstheme="minorHAnsi"/>
                <w:szCs w:val="20"/>
                <w:lang w:val="en-GB"/>
              </w:rPr>
              <w:t>Carbon Development Strategy (LCDS) with Actio</w:t>
            </w:r>
            <w:r w:rsidR="000C1E9A" w:rsidRPr="009B5B67">
              <w:rPr>
                <w:rFonts w:cstheme="minorHAnsi"/>
                <w:szCs w:val="20"/>
                <w:lang w:val="en-GB"/>
              </w:rPr>
              <w:t xml:space="preserve">n plan and </w:t>
            </w:r>
            <w:r w:rsidRPr="009B5B67">
              <w:rPr>
                <w:rFonts w:cstheme="minorHAnsi"/>
                <w:szCs w:val="20"/>
                <w:lang w:val="en-GB"/>
              </w:rPr>
              <w:t xml:space="preserve">Adaptation Planning Framework will </w:t>
            </w:r>
            <w:r w:rsidR="00AD1637" w:rsidRPr="009B5B67">
              <w:rPr>
                <w:rFonts w:cstheme="minorHAnsi"/>
                <w:szCs w:val="20"/>
                <w:lang w:val="en-GB"/>
              </w:rPr>
              <w:t xml:space="preserve">contribute to </w:t>
            </w:r>
            <w:r w:rsidRPr="009B5B67">
              <w:rPr>
                <w:rFonts w:cstheme="minorHAnsi"/>
                <w:szCs w:val="20"/>
                <w:lang w:val="en-GB"/>
              </w:rPr>
              <w:t xml:space="preserve">the achievement of the full mitigation potential in the sectors of agriculture, forestry </w:t>
            </w:r>
            <w:r w:rsidR="001B523C" w:rsidRPr="009B5B67">
              <w:rPr>
                <w:rFonts w:cstheme="minorHAnsi"/>
                <w:szCs w:val="20"/>
                <w:lang w:val="en-GB"/>
              </w:rPr>
              <w:t>and water</w:t>
            </w:r>
            <w:r w:rsidR="00643C54">
              <w:rPr>
                <w:rFonts w:cstheme="minorHAnsi"/>
                <w:szCs w:val="20"/>
                <w:lang w:val="en-GB"/>
              </w:rPr>
              <w:t xml:space="preserve"> as analysed in Serbia´s new report on </w:t>
            </w:r>
            <w:proofErr w:type="gramStart"/>
            <w:r w:rsidR="00643C54">
              <w:rPr>
                <w:rFonts w:cstheme="minorHAnsi"/>
                <w:szCs w:val="20"/>
                <w:lang w:val="en-GB"/>
              </w:rPr>
              <w:t>nature based</w:t>
            </w:r>
            <w:proofErr w:type="gramEnd"/>
            <w:r w:rsidR="00643C54">
              <w:rPr>
                <w:rFonts w:cstheme="minorHAnsi"/>
                <w:szCs w:val="20"/>
                <w:lang w:val="en-GB"/>
              </w:rPr>
              <w:t xml:space="preserve"> solutions</w:t>
            </w:r>
            <w:r w:rsidR="00643C54">
              <w:rPr>
                <w:rStyle w:val="FootnoteReference"/>
                <w:rFonts w:cstheme="minorHAnsi"/>
                <w:szCs w:val="20"/>
                <w:lang w:val="en-GB"/>
              </w:rPr>
              <w:footnoteReference w:id="5"/>
            </w:r>
            <w:r w:rsidR="001B523C" w:rsidRPr="009B5B67">
              <w:rPr>
                <w:rFonts w:cstheme="minorHAnsi"/>
                <w:szCs w:val="20"/>
                <w:lang w:val="en-GB"/>
              </w:rPr>
              <w:t>:</w:t>
            </w:r>
          </w:p>
          <w:p w14:paraId="76BFE511" w14:textId="77777777" w:rsidR="00503AE8" w:rsidRPr="009B5B67" w:rsidRDefault="00503AE8" w:rsidP="00F26AF5">
            <w:pPr>
              <w:keepLines/>
              <w:tabs>
                <w:tab w:val="left" w:pos="2402"/>
              </w:tabs>
              <w:spacing w:after="0"/>
              <w:rPr>
                <w:rFonts w:cstheme="minorHAnsi"/>
                <w:b/>
                <w:szCs w:val="20"/>
                <w:lang w:val="en-GB"/>
              </w:rPr>
            </w:pPr>
            <w:r w:rsidRPr="009B5B67">
              <w:rPr>
                <w:rFonts w:cstheme="minorHAnsi"/>
                <w:b/>
                <w:szCs w:val="20"/>
                <w:lang w:val="en-GB"/>
              </w:rPr>
              <w:t>Agriculture – food production</w:t>
            </w:r>
          </w:p>
          <w:p w14:paraId="3AC3BEA7" w14:textId="1C1DEA5B" w:rsidR="00503AE8" w:rsidRPr="009B5B67" w:rsidRDefault="00503AE8" w:rsidP="00F26AF5">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sidRPr="009B5B67">
              <w:rPr>
                <w:rFonts w:cstheme="minorHAnsi"/>
                <w:szCs w:val="20"/>
                <w:lang w:val="en-GB"/>
              </w:rPr>
              <w:t>New irrigation systems construction and efficient use of existing ones</w:t>
            </w:r>
          </w:p>
          <w:p w14:paraId="0275E1B7" w14:textId="77777777" w:rsidR="00503AE8" w:rsidRPr="009B5B67" w:rsidRDefault="00503AE8" w:rsidP="00F26AF5">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sidRPr="009B5B67">
              <w:rPr>
                <w:rFonts w:cstheme="minorHAnsi"/>
                <w:szCs w:val="20"/>
                <w:lang w:val="en-GB"/>
              </w:rPr>
              <w:t>Multipurpose small accumulation lakes, ponds and reservoirs for water supply, irrigation, erosion control, ecosystem services</w:t>
            </w:r>
          </w:p>
          <w:p w14:paraId="01B80416" w14:textId="3DFF4959" w:rsidR="006231A5" w:rsidRDefault="00EC788A" w:rsidP="00832291">
            <w:pPr>
              <w:keepLines/>
              <w:widowControl w:val="0"/>
              <w:tabs>
                <w:tab w:val="left" w:pos="2402"/>
              </w:tabs>
              <w:autoSpaceDE w:val="0"/>
              <w:autoSpaceDN w:val="0"/>
              <w:spacing w:after="0"/>
              <w:rPr>
                <w:color w:val="000000" w:themeColor="text1"/>
                <w:szCs w:val="16"/>
                <w:lang w:val="en-US"/>
              </w:rPr>
            </w:pPr>
            <w:r w:rsidRPr="00EC788A">
              <w:rPr>
                <w:rFonts w:cstheme="minorHAnsi"/>
                <w:szCs w:val="20"/>
                <w:lang w:val="en-GB"/>
              </w:rPr>
              <w:t>Adjustment of the technologies of agricultural plant and animal production</w:t>
            </w:r>
            <w:r w:rsidR="00503AE8" w:rsidRPr="009B5B67">
              <w:rPr>
                <w:rFonts w:cstheme="minorHAnsi"/>
                <w:szCs w:val="20"/>
                <w:lang w:val="en-GB"/>
              </w:rPr>
              <w:t xml:space="preserve"> (selection of species and </w:t>
            </w:r>
            <w:proofErr w:type="spellStart"/>
            <w:r w:rsidR="00503AE8" w:rsidRPr="009B5B67">
              <w:rPr>
                <w:rFonts w:cstheme="minorHAnsi"/>
                <w:szCs w:val="20"/>
                <w:lang w:val="en-GB"/>
              </w:rPr>
              <w:t>agro</w:t>
            </w:r>
            <w:proofErr w:type="spellEnd"/>
            <w:r w:rsidR="00503AE8" w:rsidRPr="009B5B67">
              <w:rPr>
                <w:rFonts w:cstheme="minorHAnsi"/>
                <w:szCs w:val="20"/>
                <w:lang w:val="en-GB"/>
              </w:rPr>
              <w:t xml:space="preserve"> technical measures</w:t>
            </w:r>
            <w:r>
              <w:rPr>
                <w:rFonts w:cstheme="minorHAnsi"/>
                <w:szCs w:val="20"/>
                <w:lang w:val="en-GB"/>
              </w:rPr>
              <w:t xml:space="preserve">, </w:t>
            </w:r>
            <w:r w:rsidRPr="004D7666">
              <w:rPr>
                <w:rFonts w:cstheme="majorHAnsi"/>
                <w:lang w:val="en-GB"/>
              </w:rPr>
              <w:t>increasing the quality of soil and rational use of fertilizer</w:t>
            </w:r>
            <w:r>
              <w:rPr>
                <w:rFonts w:cstheme="majorHAnsi"/>
                <w:lang w:val="en-GB"/>
              </w:rPr>
              <w:t xml:space="preserve">, adaptation of crop rotation, </w:t>
            </w:r>
            <w:r w:rsidRPr="004D7666">
              <w:rPr>
                <w:rFonts w:cstheme="majorHAnsi"/>
                <w:lang w:val="en-GB"/>
              </w:rPr>
              <w:t xml:space="preserve">adjusting zootechnical conditions in animal husbandry </w:t>
            </w:r>
            <w:proofErr w:type="gramStart"/>
            <w:r w:rsidRPr="004D7666">
              <w:rPr>
                <w:rFonts w:cstheme="majorHAnsi"/>
                <w:lang w:val="en-GB"/>
              </w:rPr>
              <w:t>facilities</w:t>
            </w:r>
            <w:r w:rsidR="00503AE8" w:rsidRPr="009B5B67">
              <w:rPr>
                <w:rFonts w:cstheme="minorHAnsi"/>
                <w:szCs w:val="20"/>
                <w:lang w:val="en-GB"/>
              </w:rPr>
              <w:t>)</w:t>
            </w:r>
            <w:r w:rsidR="006231A5">
              <w:rPr>
                <w:rFonts w:cstheme="minorHAnsi"/>
                <w:szCs w:val="20"/>
                <w:lang w:val="en-GB"/>
              </w:rPr>
              <w:t>Appropriate</w:t>
            </w:r>
            <w:proofErr w:type="gramEnd"/>
            <w:r w:rsidR="006231A5">
              <w:rPr>
                <w:rFonts w:cstheme="minorHAnsi"/>
                <w:szCs w:val="20"/>
                <w:lang w:val="en-GB"/>
              </w:rPr>
              <w:t xml:space="preserve"> selection of species might reduce water and nutrient supply, therefore reducing GHG emissions. Increased agricultural biomass production can partly (crop residues, waste) used for renewable energy production, replacing the use of fossil fuels</w:t>
            </w:r>
            <w:r w:rsidR="006231A5">
              <w:rPr>
                <w:rStyle w:val="FootnoteReference"/>
                <w:rFonts w:cstheme="minorHAnsi"/>
                <w:szCs w:val="20"/>
                <w:lang w:val="en-GB"/>
              </w:rPr>
              <w:footnoteReference w:id="6"/>
            </w:r>
            <w:r w:rsidR="006231A5">
              <w:rPr>
                <w:rFonts w:cstheme="minorHAnsi"/>
                <w:szCs w:val="20"/>
                <w:lang w:val="en-GB"/>
              </w:rPr>
              <w:t>.</w:t>
            </w:r>
            <w:r>
              <w:rPr>
                <w:rFonts w:cstheme="minorHAnsi"/>
                <w:szCs w:val="20"/>
                <w:lang w:val="en-GB"/>
              </w:rPr>
              <w:t xml:space="preserve"> </w:t>
            </w:r>
            <w:r>
              <w:rPr>
                <w:lang w:val="en-US"/>
              </w:rPr>
              <w:t>N</w:t>
            </w:r>
            <w:r w:rsidRPr="003D44E8">
              <w:rPr>
                <w:lang w:val="en-US"/>
              </w:rPr>
              <w:t>utrient management’s mitigation potential was assessed</w:t>
            </w:r>
            <w:r>
              <w:rPr>
                <w:lang w:val="en-US"/>
              </w:rPr>
              <w:t xml:space="preserve"> to</w:t>
            </w:r>
            <w:r w:rsidRPr="003D44E8">
              <w:rPr>
                <w:lang w:val="en-US"/>
              </w:rPr>
              <w:t xml:space="preserve"> </w:t>
            </w:r>
            <w:r w:rsidRPr="003D44E8">
              <w:rPr>
                <w:lang w:val="en-US"/>
              </w:rPr>
              <w:br/>
              <w:t>1.09 Mt CO</w:t>
            </w:r>
            <w:r w:rsidRPr="003D44E8">
              <w:rPr>
                <w:vertAlign w:val="subscript"/>
                <w:lang w:val="en-US"/>
              </w:rPr>
              <w:t>2</w:t>
            </w:r>
            <w:r>
              <w:rPr>
                <w:vertAlign w:val="subscript"/>
                <w:lang w:val="en-US"/>
              </w:rPr>
              <w:t xml:space="preserve"> </w:t>
            </w:r>
            <w:proofErr w:type="spellStart"/>
            <w:proofErr w:type="gramStart"/>
            <w:r w:rsidRPr="003D44E8">
              <w:rPr>
                <w:lang w:val="en-US"/>
              </w:rPr>
              <w:t>e</w:t>
            </w:r>
            <w:r>
              <w:rPr>
                <w:lang w:val="en-US"/>
              </w:rPr>
              <w:t>qu</w:t>
            </w:r>
            <w:proofErr w:type="spellEnd"/>
            <w:r>
              <w:rPr>
                <w:lang w:val="en-US"/>
              </w:rPr>
              <w:t>.</w:t>
            </w:r>
            <w:r w:rsidRPr="003D44E8">
              <w:rPr>
                <w:lang w:val="en-US"/>
              </w:rPr>
              <w:t>/</w:t>
            </w:r>
            <w:proofErr w:type="gramEnd"/>
            <w:r w:rsidRPr="003D44E8">
              <w:rPr>
                <w:lang w:val="en-US"/>
              </w:rPr>
              <w:t>yr</w:t>
            </w:r>
            <w:r>
              <w:rPr>
                <w:lang w:val="en-US"/>
              </w:rPr>
              <w:t>.</w:t>
            </w:r>
            <w:r w:rsidR="00832291">
              <w:rPr>
                <w:lang w:val="en-US"/>
              </w:rPr>
              <w:t xml:space="preserve"> </w:t>
            </w:r>
            <w:r w:rsidR="00832291">
              <w:rPr>
                <w:color w:val="000000" w:themeColor="text1"/>
                <w:szCs w:val="16"/>
                <w:lang w:val="en-US"/>
              </w:rPr>
              <w:t>O</w:t>
            </w:r>
            <w:r w:rsidR="00832291" w:rsidRPr="003D44E8">
              <w:rPr>
                <w:color w:val="000000" w:themeColor="text1"/>
                <w:szCs w:val="16"/>
                <w:lang w:val="en-US"/>
              </w:rPr>
              <w:t>ptimal grazing management and grazing legumes in pastures</w:t>
            </w:r>
            <w:r w:rsidR="00832291">
              <w:rPr>
                <w:color w:val="000000" w:themeColor="text1"/>
                <w:szCs w:val="16"/>
                <w:lang w:val="en-US"/>
              </w:rPr>
              <w:t xml:space="preserve"> have the potential to reduce GHG emissions by </w:t>
            </w:r>
            <w:r w:rsidR="00832291" w:rsidRPr="003D44E8">
              <w:rPr>
                <w:color w:val="000000" w:themeColor="text1"/>
                <w:szCs w:val="16"/>
                <w:lang w:val="en-US"/>
              </w:rPr>
              <w:t>0.27 Mt CO</w:t>
            </w:r>
            <w:r w:rsidR="00832291" w:rsidRPr="00832291">
              <w:rPr>
                <w:color w:val="000000" w:themeColor="text1"/>
                <w:szCs w:val="16"/>
                <w:vertAlign w:val="subscript"/>
                <w:lang w:val="en-US"/>
              </w:rPr>
              <w:t>2</w:t>
            </w:r>
            <w:r w:rsidR="00832291">
              <w:rPr>
                <w:color w:val="000000" w:themeColor="text1"/>
                <w:szCs w:val="16"/>
                <w:lang w:val="en-US"/>
              </w:rPr>
              <w:t xml:space="preserve"> </w:t>
            </w:r>
            <w:proofErr w:type="spellStart"/>
            <w:r w:rsidR="00832291" w:rsidRPr="003D44E8">
              <w:rPr>
                <w:color w:val="000000" w:themeColor="text1"/>
                <w:szCs w:val="16"/>
                <w:lang w:val="en-US"/>
              </w:rPr>
              <w:t>e</w:t>
            </w:r>
            <w:r w:rsidR="00832291">
              <w:rPr>
                <w:color w:val="000000" w:themeColor="text1"/>
                <w:szCs w:val="16"/>
                <w:lang w:val="en-US"/>
              </w:rPr>
              <w:t>qu</w:t>
            </w:r>
            <w:proofErr w:type="spellEnd"/>
            <w:r w:rsidR="00832291">
              <w:rPr>
                <w:color w:val="000000" w:themeColor="text1"/>
                <w:szCs w:val="16"/>
                <w:lang w:val="en-US"/>
              </w:rPr>
              <w:t>.</w:t>
            </w:r>
            <w:r w:rsidR="00832291" w:rsidRPr="003D44E8">
              <w:rPr>
                <w:color w:val="000000" w:themeColor="text1"/>
                <w:szCs w:val="16"/>
                <w:lang w:val="en-US"/>
              </w:rPr>
              <w:t>/yr</w:t>
            </w:r>
            <w:r w:rsidR="00832291">
              <w:rPr>
                <w:color w:val="000000" w:themeColor="text1"/>
                <w:szCs w:val="16"/>
                <w:lang w:val="en-US"/>
              </w:rPr>
              <w:t>.</w:t>
            </w:r>
          </w:p>
          <w:p w14:paraId="66521F78" w14:textId="77777777" w:rsidR="00832291" w:rsidRPr="006231A5" w:rsidRDefault="00832291" w:rsidP="006231A5">
            <w:pPr>
              <w:keepLines/>
              <w:widowControl w:val="0"/>
              <w:tabs>
                <w:tab w:val="left" w:pos="2402"/>
              </w:tabs>
              <w:autoSpaceDE w:val="0"/>
              <w:autoSpaceDN w:val="0"/>
              <w:spacing w:after="0"/>
              <w:rPr>
                <w:rFonts w:cstheme="minorHAnsi"/>
                <w:szCs w:val="20"/>
                <w:lang w:val="en-GB"/>
              </w:rPr>
            </w:pPr>
          </w:p>
          <w:p w14:paraId="42F809F2" w14:textId="77777777" w:rsidR="00503AE8" w:rsidRPr="009B5B67" w:rsidRDefault="00503AE8" w:rsidP="00F26AF5">
            <w:pPr>
              <w:keepLines/>
              <w:tabs>
                <w:tab w:val="left" w:pos="2402"/>
              </w:tabs>
              <w:spacing w:after="0"/>
              <w:rPr>
                <w:rFonts w:cstheme="minorHAnsi"/>
                <w:b/>
                <w:szCs w:val="20"/>
                <w:lang w:val="en-GB"/>
              </w:rPr>
            </w:pPr>
            <w:r w:rsidRPr="009B5B67">
              <w:rPr>
                <w:rFonts w:cstheme="minorHAnsi"/>
                <w:b/>
                <w:szCs w:val="20"/>
                <w:lang w:val="en-GB"/>
              </w:rPr>
              <w:t>Forestry – bioenergy</w:t>
            </w:r>
          </w:p>
          <w:p w14:paraId="40A2562A" w14:textId="6EBD137E" w:rsidR="00503AE8" w:rsidRDefault="00503AE8" w:rsidP="00F26AF5">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sidRPr="009B5B67">
              <w:rPr>
                <w:rFonts w:cstheme="minorHAnsi"/>
                <w:szCs w:val="20"/>
                <w:lang w:val="en-GB"/>
              </w:rPr>
              <w:t>Afforestation of new land using site mapping and climate change adapted tree species</w:t>
            </w:r>
            <w:r w:rsidR="00965F3C">
              <w:rPr>
                <w:rFonts w:cstheme="minorHAnsi"/>
                <w:szCs w:val="20"/>
                <w:lang w:val="en-GB"/>
              </w:rPr>
              <w:t>,</w:t>
            </w:r>
          </w:p>
          <w:p w14:paraId="66A1C261" w14:textId="1BBD80DC" w:rsidR="00965F3C" w:rsidRPr="009B5B67" w:rsidRDefault="00965F3C" w:rsidP="00F26AF5">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Pr>
                <w:rFonts w:cstheme="minorHAnsi"/>
                <w:szCs w:val="20"/>
                <w:lang w:val="en-GB"/>
              </w:rPr>
              <w:t>Reforestation,</w:t>
            </w:r>
          </w:p>
          <w:p w14:paraId="2ED06D83" w14:textId="05ADAFC8" w:rsidR="00503AE8" w:rsidRPr="009B5B67" w:rsidRDefault="00503AE8" w:rsidP="00F26AF5">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sidRPr="009B5B67">
              <w:rPr>
                <w:rFonts w:cstheme="minorHAnsi"/>
                <w:szCs w:val="20"/>
                <w:lang w:val="en-GB"/>
              </w:rPr>
              <w:t>Change of forest management practices toward</w:t>
            </w:r>
            <w:r w:rsidR="00965F3C">
              <w:rPr>
                <w:rFonts w:cstheme="minorHAnsi"/>
                <w:szCs w:val="20"/>
                <w:lang w:val="en-GB"/>
              </w:rPr>
              <w:t>s</w:t>
            </w:r>
            <w:r w:rsidRPr="009B5B67">
              <w:rPr>
                <w:rFonts w:cstheme="minorHAnsi"/>
                <w:szCs w:val="20"/>
                <w:lang w:val="en-GB"/>
              </w:rPr>
              <w:t xml:space="preserve"> </w:t>
            </w:r>
            <w:r w:rsidR="00965F3C" w:rsidRPr="009B5B67">
              <w:rPr>
                <w:rFonts w:cstheme="minorHAnsi"/>
                <w:szCs w:val="20"/>
                <w:lang w:val="en-GB"/>
              </w:rPr>
              <w:t>close</w:t>
            </w:r>
            <w:r w:rsidR="00965F3C">
              <w:rPr>
                <w:rFonts w:cstheme="minorHAnsi"/>
                <w:szCs w:val="20"/>
                <w:lang w:val="en-GB"/>
              </w:rPr>
              <w:t>-</w:t>
            </w:r>
            <w:r w:rsidRPr="009B5B67">
              <w:rPr>
                <w:rFonts w:cstheme="minorHAnsi"/>
                <w:szCs w:val="20"/>
                <w:lang w:val="en-GB"/>
              </w:rPr>
              <w:t>to</w:t>
            </w:r>
            <w:r w:rsidR="00965F3C">
              <w:rPr>
                <w:rFonts w:cstheme="minorHAnsi"/>
                <w:szCs w:val="20"/>
                <w:lang w:val="en-GB"/>
              </w:rPr>
              <w:t>-</w:t>
            </w:r>
            <w:r w:rsidRPr="009B5B67">
              <w:rPr>
                <w:rFonts w:cstheme="minorHAnsi"/>
                <w:szCs w:val="20"/>
                <w:lang w:val="en-GB"/>
              </w:rPr>
              <w:t xml:space="preserve"> nature forest management approach</w:t>
            </w:r>
            <w:r w:rsidR="00643C54">
              <w:rPr>
                <w:rFonts w:cstheme="minorHAnsi"/>
                <w:szCs w:val="20"/>
                <w:lang w:val="en-GB"/>
              </w:rPr>
              <w:t>,</w:t>
            </w:r>
          </w:p>
          <w:p w14:paraId="0D0615C8" w14:textId="57B17EB6" w:rsidR="00503AE8" w:rsidRDefault="00503AE8" w:rsidP="001B523C">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sidRPr="009B5B67">
              <w:rPr>
                <w:rFonts w:cstheme="minorHAnsi"/>
                <w:szCs w:val="20"/>
                <w:lang w:val="en-GB"/>
              </w:rPr>
              <w:t>Introduction of a "climate smart forestry" approach</w:t>
            </w:r>
          </w:p>
          <w:p w14:paraId="4F56E13C" w14:textId="3DE97C82" w:rsidR="00643C54" w:rsidRDefault="00643C54" w:rsidP="001B523C">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Pr>
                <w:rFonts w:cstheme="minorHAnsi"/>
                <w:szCs w:val="20"/>
                <w:lang w:val="en-GB"/>
              </w:rPr>
              <w:t>Fire management and</w:t>
            </w:r>
          </w:p>
          <w:p w14:paraId="415A6E41" w14:textId="0A736580" w:rsidR="00643C54" w:rsidRDefault="00643C54" w:rsidP="001B523C">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Pr>
                <w:rFonts w:cstheme="minorHAnsi"/>
                <w:szCs w:val="20"/>
                <w:lang w:val="en-GB"/>
              </w:rPr>
              <w:t xml:space="preserve">Integrated pest management </w:t>
            </w:r>
          </w:p>
          <w:p w14:paraId="01A0FFF5" w14:textId="44386334" w:rsidR="003E72A9" w:rsidRPr="003D44E8" w:rsidRDefault="00643C54" w:rsidP="006A1C37">
            <w:pPr>
              <w:spacing w:before="40" w:after="40"/>
              <w:rPr>
                <w:color w:val="000000" w:themeColor="text1"/>
                <w:szCs w:val="16"/>
                <w:lang w:val="en-US"/>
              </w:rPr>
            </w:pPr>
            <w:r>
              <w:rPr>
                <w:rFonts w:cstheme="minorHAnsi"/>
                <w:szCs w:val="20"/>
                <w:lang w:val="en-GB"/>
              </w:rPr>
              <w:t>result in mitigation co-benefits by supporting the replacement of fossil fuels and construction materials by biomass</w:t>
            </w:r>
            <w:r w:rsidR="003E72A9">
              <w:rPr>
                <w:rFonts w:cstheme="minorHAnsi"/>
                <w:szCs w:val="20"/>
                <w:lang w:val="en-GB"/>
              </w:rPr>
              <w:t xml:space="preserve">. The mitigation potential of afforestation has been assessed at </w:t>
            </w:r>
            <w:r w:rsidR="003E72A9" w:rsidRPr="003D44E8">
              <w:rPr>
                <w:color w:val="000000" w:themeColor="text1"/>
                <w:szCs w:val="16"/>
                <w:lang w:val="en-US"/>
              </w:rPr>
              <w:t>25.9 Mt CO</w:t>
            </w:r>
            <w:r w:rsidR="003E72A9" w:rsidRPr="003E72A9">
              <w:rPr>
                <w:color w:val="000000" w:themeColor="text1"/>
                <w:szCs w:val="16"/>
                <w:vertAlign w:val="subscript"/>
                <w:lang w:val="en-US"/>
              </w:rPr>
              <w:t>2</w:t>
            </w:r>
            <w:r w:rsidR="003E72A9">
              <w:rPr>
                <w:color w:val="000000" w:themeColor="text1"/>
                <w:szCs w:val="16"/>
                <w:lang w:val="en-US"/>
              </w:rPr>
              <w:t xml:space="preserve"> </w:t>
            </w:r>
            <w:proofErr w:type="spellStart"/>
            <w:r w:rsidR="003E72A9" w:rsidRPr="003D44E8">
              <w:rPr>
                <w:color w:val="000000" w:themeColor="text1"/>
                <w:szCs w:val="16"/>
                <w:lang w:val="en-US"/>
              </w:rPr>
              <w:t>e</w:t>
            </w:r>
            <w:r w:rsidR="003E72A9">
              <w:rPr>
                <w:color w:val="000000" w:themeColor="text1"/>
                <w:szCs w:val="16"/>
                <w:lang w:val="en-US"/>
              </w:rPr>
              <w:t>qu</w:t>
            </w:r>
            <w:proofErr w:type="spellEnd"/>
            <w:r w:rsidR="003E72A9" w:rsidRPr="003D44E8">
              <w:rPr>
                <w:color w:val="000000" w:themeColor="text1"/>
                <w:szCs w:val="16"/>
                <w:lang w:val="en-US"/>
              </w:rPr>
              <w:t>/yr</w:t>
            </w:r>
            <w:r w:rsidR="003E72A9">
              <w:rPr>
                <w:color w:val="000000" w:themeColor="text1"/>
                <w:szCs w:val="16"/>
                <w:lang w:val="en-US"/>
              </w:rPr>
              <w:t xml:space="preserve">. </w:t>
            </w:r>
            <w:r w:rsidR="003E72A9" w:rsidRPr="003D44E8">
              <w:rPr>
                <w:color w:val="000000" w:themeColor="text1"/>
                <w:szCs w:val="16"/>
                <w:lang w:val="en-US"/>
              </w:rPr>
              <w:t xml:space="preserve">Effect </w:t>
            </w:r>
            <w:r w:rsidR="003E72A9">
              <w:rPr>
                <w:color w:val="000000" w:themeColor="text1"/>
                <w:szCs w:val="16"/>
                <w:lang w:val="en-US"/>
              </w:rPr>
              <w:t xml:space="preserve">of </w:t>
            </w:r>
            <w:bookmarkStart w:id="20" w:name="_Toc58839702"/>
            <w:bookmarkStart w:id="21" w:name="_Toc58875859"/>
            <w:r w:rsidR="003E72A9" w:rsidRPr="003E72A9">
              <w:rPr>
                <w:rFonts w:cstheme="minorHAnsi"/>
                <w:szCs w:val="20"/>
                <w:lang w:val="en-GB"/>
              </w:rPr>
              <w:t xml:space="preserve">Sustainable Forest Management </w:t>
            </w:r>
            <w:r w:rsidR="003E72A9">
              <w:rPr>
                <w:rFonts w:cstheme="minorHAnsi"/>
                <w:szCs w:val="20"/>
                <w:lang w:val="en-GB"/>
              </w:rPr>
              <w:t>and</w:t>
            </w:r>
            <w:r w:rsidR="003E72A9" w:rsidRPr="003E72A9">
              <w:rPr>
                <w:rFonts w:cstheme="minorHAnsi"/>
                <w:szCs w:val="20"/>
                <w:lang w:val="en-GB"/>
              </w:rPr>
              <w:t xml:space="preserve"> Close to Nature Management</w:t>
            </w:r>
            <w:bookmarkEnd w:id="20"/>
            <w:bookmarkEnd w:id="21"/>
            <w:r w:rsidR="003E72A9" w:rsidRPr="003D44E8">
              <w:rPr>
                <w:color w:val="000000" w:themeColor="text1"/>
                <w:szCs w:val="16"/>
                <w:lang w:val="en-US"/>
              </w:rPr>
              <w:t xml:space="preserve"> </w:t>
            </w:r>
            <w:proofErr w:type="gramStart"/>
            <w:r w:rsidR="003E72A9" w:rsidRPr="003D44E8">
              <w:rPr>
                <w:color w:val="000000" w:themeColor="text1"/>
                <w:szCs w:val="16"/>
                <w:lang w:val="en-US"/>
              </w:rPr>
              <w:t>is  estimated</w:t>
            </w:r>
            <w:proofErr w:type="gramEnd"/>
            <w:r w:rsidR="003E72A9" w:rsidRPr="003D44E8">
              <w:rPr>
                <w:color w:val="000000" w:themeColor="text1"/>
                <w:szCs w:val="16"/>
                <w:lang w:val="en-US"/>
              </w:rPr>
              <w:t xml:space="preserve"> at 1.008 Mt C</w:t>
            </w:r>
            <w:r w:rsidR="003E72A9">
              <w:rPr>
                <w:color w:val="000000" w:themeColor="text1"/>
                <w:szCs w:val="16"/>
                <w:lang w:val="en-US"/>
              </w:rPr>
              <w:t>O</w:t>
            </w:r>
            <w:r w:rsidR="003E72A9" w:rsidRPr="003E72A9">
              <w:rPr>
                <w:color w:val="000000" w:themeColor="text1"/>
                <w:szCs w:val="16"/>
                <w:vertAlign w:val="subscript"/>
                <w:lang w:val="en-US"/>
              </w:rPr>
              <w:t>2</w:t>
            </w:r>
            <w:r w:rsidR="003E72A9" w:rsidRPr="003D44E8">
              <w:rPr>
                <w:color w:val="000000" w:themeColor="text1"/>
                <w:szCs w:val="16"/>
                <w:lang w:val="en-US"/>
              </w:rPr>
              <w:t xml:space="preserve"> eq by the year 2030, from all three aspects (close to nature forest management, conversion of coppice forest and regeneration of over mature beech stands).</w:t>
            </w:r>
          </w:p>
          <w:p w14:paraId="4BD5CA88" w14:textId="77777777" w:rsidR="00643C54" w:rsidRPr="003E72A9" w:rsidRDefault="00643C54" w:rsidP="001C0B2F">
            <w:pPr>
              <w:keepLines/>
              <w:widowControl w:val="0"/>
              <w:tabs>
                <w:tab w:val="left" w:pos="2402"/>
              </w:tabs>
              <w:autoSpaceDE w:val="0"/>
              <w:autoSpaceDN w:val="0"/>
              <w:spacing w:after="0"/>
              <w:rPr>
                <w:rFonts w:cstheme="minorHAnsi"/>
                <w:szCs w:val="20"/>
                <w:lang w:val="en-US"/>
              </w:rPr>
            </w:pPr>
          </w:p>
          <w:p w14:paraId="3D7E4F4E" w14:textId="77777777" w:rsidR="00503AE8" w:rsidRPr="009B5B67" w:rsidRDefault="00503AE8" w:rsidP="00F26AF5">
            <w:pPr>
              <w:keepLines/>
              <w:tabs>
                <w:tab w:val="left" w:pos="2402"/>
              </w:tabs>
              <w:spacing w:after="0"/>
              <w:rPr>
                <w:rFonts w:cstheme="minorHAnsi"/>
                <w:b/>
                <w:szCs w:val="20"/>
                <w:lang w:val="en-GB"/>
              </w:rPr>
            </w:pPr>
            <w:r w:rsidRPr="009B5B67">
              <w:rPr>
                <w:rFonts w:cstheme="minorHAnsi"/>
                <w:b/>
                <w:szCs w:val="20"/>
                <w:lang w:val="en-GB"/>
              </w:rPr>
              <w:t>Hydrology and Water Resources – hydro-electric production</w:t>
            </w:r>
          </w:p>
          <w:p w14:paraId="31B53F46" w14:textId="77777777" w:rsidR="00503AE8" w:rsidRPr="009B5B67" w:rsidRDefault="00503AE8" w:rsidP="00F26AF5">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sidRPr="009B5B67">
              <w:rPr>
                <w:rFonts w:cstheme="minorHAnsi"/>
                <w:szCs w:val="20"/>
                <w:lang w:val="en-GB"/>
              </w:rPr>
              <w:t>Construction of flooding/torrential barriers and additional measures in the basin</w:t>
            </w:r>
          </w:p>
          <w:p w14:paraId="11493567" w14:textId="77777777" w:rsidR="00503AE8" w:rsidRPr="009B5B67" w:rsidRDefault="00503AE8" w:rsidP="00F26AF5">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sidRPr="009B5B67">
              <w:rPr>
                <w:rFonts w:cstheme="minorHAnsi"/>
                <w:szCs w:val="20"/>
                <w:lang w:val="en-GB"/>
              </w:rPr>
              <w:t xml:space="preserve">Improvement of the system for observation, data collection and early warning systems for extreme climate and hydrological events and development of mathematical models for optimal management of </w:t>
            </w:r>
            <w:r w:rsidR="00DB68C2" w:rsidRPr="009B5B67">
              <w:rPr>
                <w:rFonts w:cstheme="minorHAnsi"/>
                <w:szCs w:val="20"/>
                <w:lang w:val="en-GB"/>
              </w:rPr>
              <w:t>hydro power plants (</w:t>
            </w:r>
            <w:r w:rsidRPr="009B5B67">
              <w:rPr>
                <w:rFonts w:cstheme="minorHAnsi"/>
                <w:szCs w:val="20"/>
                <w:lang w:val="en-GB"/>
              </w:rPr>
              <w:t>HPPs</w:t>
            </w:r>
            <w:r w:rsidR="00DB68C2" w:rsidRPr="009B5B67">
              <w:rPr>
                <w:rFonts w:cstheme="minorHAnsi"/>
                <w:szCs w:val="20"/>
                <w:lang w:val="en-GB"/>
              </w:rPr>
              <w:t>)</w:t>
            </w:r>
          </w:p>
          <w:p w14:paraId="373D97E0" w14:textId="4B5B5536" w:rsidR="006A1C37" w:rsidRDefault="00503AE8" w:rsidP="006A1C37">
            <w:pPr>
              <w:pStyle w:val="ListParagraph"/>
              <w:keepLines/>
              <w:widowControl w:val="0"/>
              <w:numPr>
                <w:ilvl w:val="0"/>
                <w:numId w:val="11"/>
              </w:numPr>
              <w:tabs>
                <w:tab w:val="left" w:pos="2402"/>
              </w:tabs>
              <w:autoSpaceDE w:val="0"/>
              <w:autoSpaceDN w:val="0"/>
              <w:spacing w:after="0"/>
              <w:ind w:left="176" w:hanging="176"/>
              <w:contextualSpacing w:val="0"/>
              <w:rPr>
                <w:rFonts w:cstheme="minorHAnsi"/>
                <w:szCs w:val="20"/>
                <w:lang w:val="en-GB"/>
              </w:rPr>
            </w:pPr>
            <w:r w:rsidRPr="009B5B67">
              <w:rPr>
                <w:rFonts w:cstheme="minorHAnsi"/>
                <w:szCs w:val="20"/>
                <w:lang w:val="en-GB"/>
              </w:rPr>
              <w:t>Increase in water storage capacity</w:t>
            </w:r>
          </w:p>
          <w:p w14:paraId="09E0C9B1" w14:textId="4C5E5744" w:rsidR="006A1C37" w:rsidRDefault="006A1C37" w:rsidP="006A1C37">
            <w:pPr>
              <w:keepLines/>
              <w:widowControl w:val="0"/>
              <w:tabs>
                <w:tab w:val="left" w:pos="2402"/>
              </w:tabs>
              <w:autoSpaceDE w:val="0"/>
              <w:autoSpaceDN w:val="0"/>
              <w:spacing w:after="0"/>
              <w:rPr>
                <w:rFonts w:cstheme="minorHAnsi"/>
                <w:szCs w:val="20"/>
                <w:lang w:val="en-GB"/>
              </w:rPr>
            </w:pPr>
          </w:p>
          <w:p w14:paraId="5A46A252" w14:textId="40261073" w:rsidR="006A1C37" w:rsidRPr="006A1C37" w:rsidRDefault="006A1C37" w:rsidP="006A1C37">
            <w:pPr>
              <w:keepLines/>
              <w:widowControl w:val="0"/>
              <w:tabs>
                <w:tab w:val="left" w:pos="2402"/>
              </w:tabs>
              <w:autoSpaceDE w:val="0"/>
              <w:autoSpaceDN w:val="0"/>
              <w:spacing w:after="0"/>
              <w:rPr>
                <w:rFonts w:cstheme="minorHAnsi"/>
                <w:szCs w:val="20"/>
                <w:lang w:val="en-GB"/>
              </w:rPr>
            </w:pPr>
            <w:r>
              <w:rPr>
                <w:rFonts w:cstheme="minorHAnsi"/>
                <w:szCs w:val="20"/>
                <w:lang w:val="en-GB"/>
              </w:rPr>
              <w:t xml:space="preserve">Water availability is an important factor </w:t>
            </w:r>
            <w:proofErr w:type="gramStart"/>
            <w:r>
              <w:rPr>
                <w:rFonts w:cstheme="minorHAnsi"/>
                <w:szCs w:val="20"/>
                <w:lang w:val="en-GB"/>
              </w:rPr>
              <w:t>for the production of</w:t>
            </w:r>
            <w:proofErr w:type="gramEnd"/>
            <w:r>
              <w:rPr>
                <w:rFonts w:cstheme="minorHAnsi"/>
                <w:szCs w:val="20"/>
                <w:lang w:val="en-GB"/>
              </w:rPr>
              <w:t xml:space="preserve"> renewable energy (hydro power) and the production of biomass for the production of energy and construction material. </w:t>
            </w:r>
          </w:p>
          <w:p w14:paraId="60A27A6B" w14:textId="77777777" w:rsidR="00A24D5F" w:rsidRPr="009B5B67" w:rsidRDefault="00A24D5F" w:rsidP="00A24D5F">
            <w:pPr>
              <w:pStyle w:val="ListParagraph"/>
              <w:keepLines/>
              <w:widowControl w:val="0"/>
              <w:tabs>
                <w:tab w:val="left" w:pos="2402"/>
              </w:tabs>
              <w:autoSpaceDE w:val="0"/>
              <w:autoSpaceDN w:val="0"/>
              <w:spacing w:after="0"/>
              <w:ind w:left="176"/>
              <w:contextualSpacing w:val="0"/>
              <w:rPr>
                <w:rFonts w:cstheme="minorHAnsi"/>
                <w:szCs w:val="20"/>
                <w:lang w:val="en-GB"/>
              </w:rPr>
            </w:pPr>
          </w:p>
          <w:p w14:paraId="4AF25B28" w14:textId="78B16D18" w:rsidR="001E28FA" w:rsidRPr="009B5B67" w:rsidRDefault="009F5D2F" w:rsidP="00832291">
            <w:pPr>
              <w:keepLines/>
              <w:tabs>
                <w:tab w:val="left" w:pos="2402"/>
              </w:tabs>
              <w:spacing w:after="0"/>
              <w:rPr>
                <w:rFonts w:cstheme="minorHAnsi"/>
                <w:szCs w:val="20"/>
                <w:lang w:val="en-GB"/>
              </w:rPr>
            </w:pPr>
            <w:r w:rsidRPr="009B5B67">
              <w:rPr>
                <w:rFonts w:cstheme="minorHAnsi"/>
                <w:szCs w:val="20"/>
                <w:lang w:val="en-GB"/>
              </w:rPr>
              <w:t xml:space="preserve">Mitigation co-benefits resulting from adaptation actions will be </w:t>
            </w:r>
            <w:r w:rsidR="003D033D" w:rsidRPr="009B5B67">
              <w:rPr>
                <w:rFonts w:cstheme="minorHAnsi"/>
                <w:szCs w:val="20"/>
                <w:lang w:val="en-GB"/>
              </w:rPr>
              <w:t>further elaborated</w:t>
            </w:r>
            <w:r w:rsidRPr="009B5B67">
              <w:rPr>
                <w:rFonts w:cstheme="minorHAnsi"/>
                <w:szCs w:val="20"/>
                <w:lang w:val="en-GB"/>
              </w:rPr>
              <w:t xml:space="preserve"> in the N</w:t>
            </w:r>
            <w:r w:rsidR="001E28FA" w:rsidRPr="009B5B67">
              <w:rPr>
                <w:rFonts w:cstheme="minorHAnsi"/>
                <w:szCs w:val="20"/>
                <w:lang w:val="en-GB"/>
              </w:rPr>
              <w:t xml:space="preserve">ational Adaptation Plan (NAP) </w:t>
            </w:r>
            <w:r w:rsidR="00512763" w:rsidRPr="009B5B67">
              <w:rPr>
                <w:rFonts w:cstheme="minorHAnsi"/>
                <w:szCs w:val="20"/>
                <w:lang w:val="en-GB"/>
              </w:rPr>
              <w:t xml:space="preserve">that is </w:t>
            </w:r>
            <w:r w:rsidR="00CD453F" w:rsidRPr="009B5B67">
              <w:rPr>
                <w:rFonts w:cstheme="minorHAnsi"/>
                <w:szCs w:val="20"/>
                <w:lang w:val="en-GB"/>
              </w:rPr>
              <w:t>under development</w:t>
            </w:r>
            <w:r w:rsidR="00832291">
              <w:rPr>
                <w:rFonts w:cstheme="minorHAnsi"/>
                <w:szCs w:val="20"/>
                <w:lang w:val="en-GB"/>
              </w:rPr>
              <w:t xml:space="preserve"> and might increase the co-benefits mentioned above.</w:t>
            </w:r>
            <w:r w:rsidR="00CD453F" w:rsidRPr="009B5B67">
              <w:rPr>
                <w:rFonts w:cstheme="minorHAnsi"/>
                <w:szCs w:val="20"/>
                <w:lang w:val="en-GB"/>
              </w:rPr>
              <w:t xml:space="preserve"> </w:t>
            </w:r>
          </w:p>
        </w:tc>
      </w:tr>
    </w:tbl>
    <w:p w14:paraId="67D7F50B" w14:textId="77777777" w:rsidR="001B523C" w:rsidRPr="009B5B67" w:rsidRDefault="001B523C">
      <w:pPr>
        <w:rPr>
          <w:lang w:val="en-GB"/>
        </w:rPr>
      </w:pPr>
    </w:p>
    <w:tbl>
      <w:tblPr>
        <w:tblStyle w:val="TableGrid"/>
        <w:tblW w:w="10065" w:type="dxa"/>
        <w:tblInd w:w="-5" w:type="dxa"/>
        <w:tblCellMar>
          <w:top w:w="108" w:type="dxa"/>
          <w:bottom w:w="108" w:type="dxa"/>
        </w:tblCellMar>
        <w:tblLook w:val="04A0" w:firstRow="1" w:lastRow="0" w:firstColumn="1" w:lastColumn="0" w:noHBand="0" w:noVBand="1"/>
      </w:tblPr>
      <w:tblGrid>
        <w:gridCol w:w="3686"/>
        <w:gridCol w:w="6379"/>
      </w:tblGrid>
      <w:tr w:rsidR="00503AE8" w:rsidRPr="009B5B67" w14:paraId="5CE5FEF1" w14:textId="77777777" w:rsidTr="005D623B">
        <w:trPr>
          <w:trHeight w:val="20"/>
          <w:tblHeader/>
        </w:trPr>
        <w:tc>
          <w:tcPr>
            <w:tcW w:w="10065" w:type="dxa"/>
            <w:gridSpan w:val="2"/>
            <w:shd w:val="clear" w:color="auto" w:fill="D9E2F3" w:themeFill="accent1" w:themeFillTint="33"/>
          </w:tcPr>
          <w:p w14:paraId="62E095F7" w14:textId="77777777" w:rsidR="00503AE8" w:rsidRPr="009B5B67" w:rsidRDefault="00503AE8" w:rsidP="00F26AF5">
            <w:pPr>
              <w:pStyle w:val="Heading6"/>
              <w:spacing w:after="0"/>
              <w:rPr>
                <w:rFonts w:asciiTheme="minorHAnsi" w:hAnsiTheme="minorHAnsi" w:cstheme="minorHAnsi"/>
                <w:lang w:val="en-GB"/>
              </w:rPr>
            </w:pPr>
            <w:bookmarkStart w:id="22" w:name="_Toc56411147"/>
            <w:r w:rsidRPr="009B5B67">
              <w:rPr>
                <w:lang w:val="en-GB"/>
              </w:rPr>
              <w:lastRenderedPageBreak/>
              <w:t>4. Planning processes</w:t>
            </w:r>
            <w:bookmarkEnd w:id="22"/>
          </w:p>
        </w:tc>
      </w:tr>
      <w:tr w:rsidR="00503AE8" w:rsidRPr="00080666" w14:paraId="15AC398B" w14:textId="77777777" w:rsidTr="006C0393">
        <w:trPr>
          <w:trHeight w:val="20"/>
        </w:trPr>
        <w:tc>
          <w:tcPr>
            <w:tcW w:w="3686" w:type="dxa"/>
          </w:tcPr>
          <w:p w14:paraId="7E725810" w14:textId="77777777" w:rsidR="00503AE8" w:rsidRPr="009B5B67" w:rsidRDefault="00503AE8" w:rsidP="00503AE8">
            <w:pPr>
              <w:keepNext/>
              <w:tabs>
                <w:tab w:val="left" w:pos="2401"/>
                <w:tab w:val="left" w:pos="2402"/>
              </w:tabs>
              <w:ind w:left="323" w:hanging="323"/>
              <w:rPr>
                <w:rFonts w:cstheme="minorHAnsi"/>
                <w:szCs w:val="20"/>
                <w:lang w:val="en-GB"/>
              </w:rPr>
            </w:pPr>
            <w:r w:rsidRPr="009B5B67">
              <w:rPr>
                <w:rFonts w:cstheme="minorHAnsi"/>
                <w:szCs w:val="20"/>
                <w:lang w:val="en-GB"/>
              </w:rPr>
              <w:t>(a)</w:t>
            </w:r>
            <w:r w:rsidRPr="009B5B67">
              <w:rPr>
                <w:rFonts w:cstheme="minorHAnsi"/>
                <w:szCs w:val="20"/>
                <w:lang w:val="en-GB"/>
              </w:rPr>
              <w:tab/>
              <w:t>Information on the planning processes that the Party undertook to prepare its nationally determined contribution and, if available, on the Party’s implementation plans, including, as</w:t>
            </w:r>
            <w:r w:rsidRPr="009B5B67">
              <w:rPr>
                <w:rFonts w:cstheme="minorHAnsi"/>
                <w:spacing w:val="-2"/>
                <w:szCs w:val="20"/>
                <w:lang w:val="en-GB"/>
              </w:rPr>
              <w:t xml:space="preserve"> </w:t>
            </w:r>
            <w:r w:rsidRPr="009B5B67">
              <w:rPr>
                <w:rFonts w:cstheme="minorHAnsi"/>
                <w:szCs w:val="20"/>
                <w:lang w:val="en-GB"/>
              </w:rPr>
              <w:t>appropriate:</w:t>
            </w:r>
          </w:p>
        </w:tc>
        <w:tc>
          <w:tcPr>
            <w:tcW w:w="6379" w:type="dxa"/>
          </w:tcPr>
          <w:p w14:paraId="694DF1E4" w14:textId="0452E08C" w:rsidR="00503AE8" w:rsidRPr="009B5B67" w:rsidRDefault="00503AE8" w:rsidP="00AA5756">
            <w:pPr>
              <w:tabs>
                <w:tab w:val="left" w:pos="2401"/>
                <w:tab w:val="left" w:pos="2402"/>
              </w:tabs>
              <w:rPr>
                <w:rFonts w:cstheme="minorHAnsi"/>
                <w:color w:val="000000" w:themeColor="text1"/>
                <w:szCs w:val="20"/>
                <w:lang w:val="en-GB"/>
              </w:rPr>
            </w:pPr>
            <w:r w:rsidRPr="009B5B67">
              <w:rPr>
                <w:rFonts w:cstheme="minorHAnsi"/>
                <w:color w:val="000000" w:themeColor="text1"/>
                <w:szCs w:val="20"/>
                <w:lang w:val="en-GB"/>
              </w:rPr>
              <w:t xml:space="preserve">The GHG emission reduction target presented in this NDC is determined based on the </w:t>
            </w:r>
            <w:r w:rsidR="00CB0963" w:rsidRPr="009B5B67">
              <w:rPr>
                <w:rFonts w:cstheme="minorHAnsi"/>
                <w:color w:val="000000" w:themeColor="text1"/>
                <w:szCs w:val="20"/>
                <w:lang w:val="en-GB"/>
              </w:rPr>
              <w:t>Draft</w:t>
            </w:r>
            <w:r w:rsidR="00DB68C2" w:rsidRPr="009B5B67">
              <w:rPr>
                <w:rFonts w:cstheme="minorHAnsi"/>
                <w:color w:val="000000" w:themeColor="text1"/>
                <w:szCs w:val="20"/>
                <w:lang w:val="en-GB"/>
              </w:rPr>
              <w:t xml:space="preserve"> </w:t>
            </w:r>
            <w:r w:rsidRPr="009B5B67">
              <w:rPr>
                <w:rFonts w:cstheme="minorHAnsi"/>
                <w:b/>
                <w:color w:val="000000" w:themeColor="text1"/>
                <w:szCs w:val="20"/>
                <w:lang w:val="en-GB"/>
              </w:rPr>
              <w:t>Low Carbon Development Strategy (LCDS)</w:t>
            </w:r>
            <w:r w:rsidRPr="009B5B67">
              <w:rPr>
                <w:rFonts w:cstheme="minorHAnsi"/>
                <w:color w:val="000000" w:themeColor="text1"/>
                <w:szCs w:val="20"/>
                <w:lang w:val="en-GB"/>
              </w:rPr>
              <w:t xml:space="preserve">, while its achievement is defined by an accompanying </w:t>
            </w:r>
            <w:r w:rsidRPr="009B5B67">
              <w:rPr>
                <w:rFonts w:cstheme="minorHAnsi"/>
                <w:b/>
                <w:color w:val="000000" w:themeColor="text1"/>
                <w:szCs w:val="20"/>
                <w:lang w:val="en-GB"/>
              </w:rPr>
              <w:t>Action Plan</w:t>
            </w:r>
            <w:r w:rsidRPr="009B5B67">
              <w:rPr>
                <w:rFonts w:cstheme="minorHAnsi"/>
                <w:color w:val="000000" w:themeColor="text1"/>
                <w:szCs w:val="20"/>
                <w:lang w:val="en-GB"/>
              </w:rPr>
              <w:t>. The planning and information relevant to the NDC are presented in Second BUR</w:t>
            </w:r>
            <w:r w:rsidR="000A5269" w:rsidRPr="009B5B67">
              <w:rPr>
                <w:rFonts w:cstheme="minorHAnsi"/>
                <w:color w:val="000000" w:themeColor="text1"/>
                <w:szCs w:val="20"/>
                <w:lang w:val="en-GB"/>
              </w:rPr>
              <w:t xml:space="preserve"> (BUR2)</w:t>
            </w:r>
            <w:r w:rsidRPr="009B5B67">
              <w:rPr>
                <w:rFonts w:cstheme="minorHAnsi"/>
                <w:color w:val="000000" w:themeColor="text1"/>
                <w:szCs w:val="20"/>
                <w:lang w:val="en-GB"/>
              </w:rPr>
              <w:t xml:space="preserve">. </w:t>
            </w:r>
          </w:p>
          <w:p w14:paraId="2D71D537" w14:textId="7A84C0D4" w:rsidR="009C1AF0" w:rsidRPr="009B5B67" w:rsidRDefault="002566E7" w:rsidP="00AA5756">
            <w:pPr>
              <w:widowControl w:val="0"/>
              <w:tabs>
                <w:tab w:val="left" w:pos="2401"/>
                <w:tab w:val="left" w:pos="2402"/>
              </w:tabs>
              <w:autoSpaceDE w:val="0"/>
              <w:autoSpaceDN w:val="0"/>
              <w:rPr>
                <w:rFonts w:cstheme="minorHAnsi"/>
                <w:color w:val="000000" w:themeColor="text1"/>
                <w:szCs w:val="20"/>
                <w:lang w:val="en-GB"/>
              </w:rPr>
            </w:pPr>
            <w:r w:rsidRPr="009B5B67">
              <w:rPr>
                <w:rFonts w:cstheme="minorHAnsi"/>
                <w:color w:val="000000" w:themeColor="text1"/>
                <w:szCs w:val="20"/>
                <w:lang w:val="en-GB"/>
              </w:rPr>
              <w:t xml:space="preserve">Consultations during the process of </w:t>
            </w:r>
            <w:r w:rsidR="009C1AF0" w:rsidRPr="009B5B67">
              <w:rPr>
                <w:rFonts w:cstheme="minorHAnsi"/>
                <w:color w:val="000000" w:themeColor="text1"/>
                <w:szCs w:val="20"/>
                <w:lang w:val="en-GB"/>
              </w:rPr>
              <w:t>preparation</w:t>
            </w:r>
            <w:r w:rsidRPr="009B5B67">
              <w:rPr>
                <w:rFonts w:cstheme="minorHAnsi"/>
                <w:color w:val="000000" w:themeColor="text1"/>
                <w:szCs w:val="20"/>
                <w:lang w:val="en-GB"/>
              </w:rPr>
              <w:t xml:space="preserve"> of the LCDS and A</w:t>
            </w:r>
            <w:r w:rsidR="009C1AF0" w:rsidRPr="009B5B67">
              <w:rPr>
                <w:rFonts w:cstheme="minorHAnsi"/>
                <w:color w:val="000000" w:themeColor="text1"/>
                <w:szCs w:val="20"/>
                <w:lang w:val="en-GB"/>
              </w:rPr>
              <w:t xml:space="preserve">P </w:t>
            </w:r>
            <w:r w:rsidRPr="009B5B67">
              <w:rPr>
                <w:rFonts w:cstheme="minorHAnsi"/>
                <w:color w:val="000000" w:themeColor="text1"/>
                <w:szCs w:val="20"/>
                <w:lang w:val="en-GB"/>
              </w:rPr>
              <w:t xml:space="preserve">included 15 events with app. 40 participants per event representing governmental institutions, public and private companies, NGOs, scientific and research institutions. Gender equality was considered during the preparation </w:t>
            </w:r>
            <w:r w:rsidR="009C1AF0" w:rsidRPr="009B5B67">
              <w:rPr>
                <w:rFonts w:cstheme="minorHAnsi"/>
                <w:color w:val="000000" w:themeColor="text1"/>
                <w:szCs w:val="20"/>
                <w:lang w:val="en-GB"/>
              </w:rPr>
              <w:t xml:space="preserve">and realization of these events. </w:t>
            </w:r>
          </w:p>
          <w:p w14:paraId="19EF4851" w14:textId="17DBBCDF" w:rsidR="0080231B" w:rsidRPr="009B5B67" w:rsidRDefault="009C1AF0" w:rsidP="00AA5756">
            <w:pPr>
              <w:widowControl w:val="0"/>
              <w:tabs>
                <w:tab w:val="left" w:pos="2401"/>
                <w:tab w:val="left" w:pos="2402"/>
              </w:tabs>
              <w:autoSpaceDE w:val="0"/>
              <w:autoSpaceDN w:val="0"/>
              <w:rPr>
                <w:rFonts w:cstheme="minorHAnsi"/>
                <w:color w:val="000000" w:themeColor="text1"/>
                <w:szCs w:val="20"/>
                <w:lang w:val="en-GB"/>
              </w:rPr>
            </w:pPr>
            <w:r w:rsidRPr="009B5B67">
              <w:rPr>
                <w:rFonts w:cstheme="minorHAnsi"/>
                <w:color w:val="000000" w:themeColor="text1"/>
                <w:szCs w:val="20"/>
                <w:lang w:val="en-GB"/>
              </w:rPr>
              <w:t>From June 2020 process of finalization of the NDC included additional 3 public events</w:t>
            </w:r>
            <w:r w:rsidR="00E9310B" w:rsidRPr="009B5B67">
              <w:rPr>
                <w:rFonts w:cstheme="minorHAnsi"/>
                <w:color w:val="000000" w:themeColor="text1"/>
                <w:szCs w:val="20"/>
                <w:lang w:val="en-GB"/>
              </w:rPr>
              <w:t xml:space="preserve"> with app. participants. </w:t>
            </w:r>
            <w:r w:rsidR="004F250F" w:rsidRPr="009B5B67">
              <w:rPr>
                <w:rFonts w:cstheme="minorHAnsi"/>
                <w:color w:val="000000" w:themeColor="text1"/>
                <w:szCs w:val="20"/>
                <w:lang w:val="en-GB"/>
              </w:rPr>
              <w:t>Moreover</w:t>
            </w:r>
            <w:r w:rsidR="00E9310B" w:rsidRPr="009B5B67">
              <w:rPr>
                <w:rFonts w:cstheme="minorHAnsi"/>
                <w:color w:val="000000" w:themeColor="text1"/>
                <w:szCs w:val="20"/>
                <w:lang w:val="en-GB"/>
              </w:rPr>
              <w:t xml:space="preserve">, </w:t>
            </w:r>
            <w:r w:rsidR="004F250F" w:rsidRPr="009B5B67">
              <w:rPr>
                <w:rFonts w:cstheme="minorHAnsi"/>
                <w:color w:val="000000" w:themeColor="text1"/>
                <w:szCs w:val="20"/>
                <w:lang w:val="en-GB"/>
              </w:rPr>
              <w:t>the first version of the NDC</w:t>
            </w:r>
            <w:r w:rsidR="00E526AC" w:rsidRPr="009B5B67">
              <w:rPr>
                <w:rFonts w:cstheme="minorHAnsi"/>
                <w:color w:val="000000" w:themeColor="text1"/>
                <w:szCs w:val="20"/>
                <w:lang w:val="en-GB"/>
              </w:rPr>
              <w:t xml:space="preserve"> </w:t>
            </w:r>
            <w:r w:rsidR="004F250F" w:rsidRPr="009B5B67">
              <w:rPr>
                <w:rFonts w:cstheme="minorHAnsi"/>
                <w:color w:val="000000" w:themeColor="text1"/>
                <w:szCs w:val="20"/>
                <w:lang w:val="en-GB"/>
              </w:rPr>
              <w:t>was published for comments and suggestions from….to….</w:t>
            </w:r>
          </w:p>
          <w:p w14:paraId="5F932359" w14:textId="77777777" w:rsidR="002566E7" w:rsidRPr="009B5B67" w:rsidRDefault="002566E7" w:rsidP="00E90AEE">
            <w:pPr>
              <w:widowControl w:val="0"/>
              <w:tabs>
                <w:tab w:val="left" w:pos="2401"/>
                <w:tab w:val="left" w:pos="2402"/>
              </w:tabs>
              <w:autoSpaceDE w:val="0"/>
              <w:autoSpaceDN w:val="0"/>
              <w:rPr>
                <w:rFonts w:cstheme="minorHAnsi"/>
                <w:color w:val="000000" w:themeColor="text1"/>
                <w:szCs w:val="20"/>
                <w:lang w:val="en-GB"/>
              </w:rPr>
            </w:pPr>
            <w:r w:rsidRPr="009B5B67">
              <w:rPr>
                <w:rFonts w:cstheme="minorHAnsi"/>
                <w:color w:val="000000" w:themeColor="text1"/>
                <w:szCs w:val="20"/>
                <w:lang w:val="en-GB"/>
              </w:rPr>
              <w:t xml:space="preserve">The NDC planning and revision </w:t>
            </w:r>
            <w:proofErr w:type="gramStart"/>
            <w:r w:rsidRPr="009B5B67">
              <w:rPr>
                <w:rFonts w:cstheme="minorHAnsi"/>
                <w:color w:val="000000" w:themeColor="text1"/>
                <w:szCs w:val="20"/>
                <w:lang w:val="en-GB"/>
              </w:rPr>
              <w:t>took into account</w:t>
            </w:r>
            <w:proofErr w:type="gramEnd"/>
            <w:r w:rsidRPr="009B5B67">
              <w:rPr>
                <w:rFonts w:cstheme="minorHAnsi"/>
                <w:color w:val="000000" w:themeColor="text1"/>
                <w:szCs w:val="20"/>
                <w:lang w:val="en-GB"/>
              </w:rPr>
              <w:t xml:space="preserve"> obligations resulting from the EU accession process as well as national circumstances and capacities.</w:t>
            </w:r>
          </w:p>
          <w:p w14:paraId="2D0E38F7" w14:textId="6115CFC9" w:rsidR="00E90AEE" w:rsidRPr="009B5B67" w:rsidRDefault="00E90AEE" w:rsidP="002566E7">
            <w:pPr>
              <w:widowControl w:val="0"/>
              <w:tabs>
                <w:tab w:val="left" w:pos="2401"/>
                <w:tab w:val="left" w:pos="2402"/>
              </w:tabs>
              <w:autoSpaceDE w:val="0"/>
              <w:autoSpaceDN w:val="0"/>
              <w:spacing w:after="0"/>
              <w:rPr>
                <w:rFonts w:cstheme="minorHAnsi"/>
                <w:color w:val="000000" w:themeColor="text1"/>
                <w:szCs w:val="20"/>
                <w:lang w:val="en-GB"/>
              </w:rPr>
            </w:pPr>
            <w:r w:rsidRPr="009B5B67">
              <w:rPr>
                <w:rFonts w:eastAsia="Times New Roman" w:cs="Arial"/>
                <w:szCs w:val="20"/>
                <w:lang w:val="en-GB" w:eastAsia="sr-Latn-RS"/>
              </w:rPr>
              <w:t>Following the international and certain provisions of the EU legislation, involvement of the broad range of stakeholders was ensured through public consultation process, working groups responsible for preparation of the NDC, as well as on-line surveys and questionnaires.</w:t>
            </w:r>
          </w:p>
        </w:tc>
      </w:tr>
      <w:tr w:rsidR="00682161" w:rsidRPr="00080666" w14:paraId="26065F74" w14:textId="77777777" w:rsidTr="006C0393">
        <w:trPr>
          <w:trHeight w:val="20"/>
        </w:trPr>
        <w:tc>
          <w:tcPr>
            <w:tcW w:w="3686" w:type="dxa"/>
          </w:tcPr>
          <w:p w14:paraId="0B284CDC" w14:textId="77777777" w:rsidR="00682161" w:rsidRPr="009B5B67" w:rsidRDefault="00682161" w:rsidP="00345B2D">
            <w:pPr>
              <w:pStyle w:val="ListParagraph"/>
              <w:keepLines/>
              <w:widowControl w:val="0"/>
              <w:numPr>
                <w:ilvl w:val="0"/>
                <w:numId w:val="2"/>
              </w:numPr>
              <w:tabs>
                <w:tab w:val="left" w:pos="605"/>
              </w:tabs>
              <w:autoSpaceDE w:val="0"/>
              <w:autoSpaceDN w:val="0"/>
              <w:ind w:left="605" w:hanging="283"/>
              <w:contextualSpacing w:val="0"/>
              <w:jc w:val="left"/>
              <w:rPr>
                <w:rFonts w:cstheme="minorHAnsi"/>
                <w:szCs w:val="20"/>
                <w:lang w:val="en-GB"/>
              </w:rPr>
            </w:pPr>
            <w:r w:rsidRPr="009B5B67">
              <w:rPr>
                <w:rFonts w:cstheme="minorHAnsi"/>
                <w:szCs w:val="20"/>
                <w:lang w:val="en-GB"/>
              </w:rPr>
              <w:t>Domestic</w:t>
            </w:r>
            <w:r w:rsidRPr="009B5B67">
              <w:rPr>
                <w:rFonts w:cstheme="minorHAnsi"/>
                <w:spacing w:val="-16"/>
                <w:szCs w:val="20"/>
                <w:lang w:val="en-GB"/>
              </w:rPr>
              <w:t xml:space="preserve"> </w:t>
            </w:r>
            <w:r w:rsidRPr="009B5B67">
              <w:rPr>
                <w:rFonts w:cstheme="minorHAnsi"/>
                <w:szCs w:val="20"/>
                <w:lang w:val="en-GB"/>
              </w:rPr>
              <w:t>institutional</w:t>
            </w:r>
            <w:r w:rsidRPr="009B5B67">
              <w:rPr>
                <w:rFonts w:cstheme="minorHAnsi"/>
                <w:spacing w:val="-16"/>
                <w:szCs w:val="20"/>
                <w:lang w:val="en-GB"/>
              </w:rPr>
              <w:t xml:space="preserve"> </w:t>
            </w:r>
            <w:r w:rsidRPr="009B5B67">
              <w:rPr>
                <w:rFonts w:cstheme="minorHAnsi"/>
                <w:szCs w:val="20"/>
                <w:lang w:val="en-GB"/>
              </w:rPr>
              <w:t>arrangements,</w:t>
            </w:r>
            <w:r w:rsidRPr="009B5B67">
              <w:rPr>
                <w:rFonts w:cstheme="minorHAnsi"/>
                <w:spacing w:val="-15"/>
                <w:szCs w:val="20"/>
                <w:lang w:val="en-GB"/>
              </w:rPr>
              <w:t xml:space="preserve"> </w:t>
            </w:r>
            <w:r w:rsidRPr="009B5B67">
              <w:rPr>
                <w:rFonts w:cstheme="minorHAnsi"/>
                <w:szCs w:val="20"/>
                <w:lang w:val="en-GB"/>
              </w:rPr>
              <w:t>public</w:t>
            </w:r>
            <w:r w:rsidRPr="009B5B67">
              <w:rPr>
                <w:rFonts w:cstheme="minorHAnsi"/>
                <w:spacing w:val="-16"/>
                <w:szCs w:val="20"/>
                <w:lang w:val="en-GB"/>
              </w:rPr>
              <w:t xml:space="preserve"> </w:t>
            </w:r>
            <w:r w:rsidRPr="009B5B67">
              <w:rPr>
                <w:rFonts w:cstheme="minorHAnsi"/>
                <w:szCs w:val="20"/>
                <w:lang w:val="en-GB"/>
              </w:rPr>
              <w:t>participation</w:t>
            </w:r>
            <w:r w:rsidRPr="009B5B67">
              <w:rPr>
                <w:rFonts w:cstheme="minorHAnsi"/>
                <w:spacing w:val="-16"/>
                <w:szCs w:val="20"/>
                <w:lang w:val="en-GB"/>
              </w:rPr>
              <w:t xml:space="preserve"> </w:t>
            </w:r>
            <w:r w:rsidRPr="009B5B67">
              <w:rPr>
                <w:rFonts w:cstheme="minorHAnsi"/>
                <w:szCs w:val="20"/>
                <w:lang w:val="en-GB"/>
              </w:rPr>
              <w:t>and</w:t>
            </w:r>
            <w:r w:rsidRPr="009B5B67">
              <w:rPr>
                <w:rFonts w:cstheme="minorHAnsi"/>
                <w:spacing w:val="-13"/>
                <w:szCs w:val="20"/>
                <w:lang w:val="en-GB"/>
              </w:rPr>
              <w:t xml:space="preserve"> </w:t>
            </w:r>
            <w:r w:rsidRPr="009B5B67">
              <w:rPr>
                <w:rFonts w:cstheme="minorHAnsi"/>
                <w:szCs w:val="20"/>
                <w:lang w:val="en-GB"/>
              </w:rPr>
              <w:t>engagement</w:t>
            </w:r>
            <w:r w:rsidRPr="009B5B67">
              <w:rPr>
                <w:rFonts w:cstheme="minorHAnsi"/>
                <w:spacing w:val="-14"/>
                <w:szCs w:val="20"/>
                <w:lang w:val="en-GB"/>
              </w:rPr>
              <w:t xml:space="preserve"> </w:t>
            </w:r>
            <w:r w:rsidRPr="009B5B67">
              <w:rPr>
                <w:rFonts w:cstheme="minorHAnsi"/>
                <w:szCs w:val="20"/>
                <w:lang w:val="en-GB"/>
              </w:rPr>
              <w:t>with local communities and indigenous peoples, in a gender-responsive</w:t>
            </w:r>
            <w:r w:rsidRPr="009B5B67">
              <w:rPr>
                <w:rFonts w:cstheme="minorHAnsi"/>
                <w:spacing w:val="-6"/>
                <w:szCs w:val="20"/>
                <w:lang w:val="en-GB"/>
              </w:rPr>
              <w:t xml:space="preserve"> </w:t>
            </w:r>
            <w:r w:rsidRPr="009B5B67">
              <w:rPr>
                <w:rFonts w:cstheme="minorHAnsi"/>
                <w:szCs w:val="20"/>
                <w:lang w:val="en-GB"/>
              </w:rPr>
              <w:t>manner;</w:t>
            </w:r>
          </w:p>
        </w:tc>
        <w:tc>
          <w:tcPr>
            <w:tcW w:w="6379" w:type="dxa"/>
          </w:tcPr>
          <w:p w14:paraId="241952B7" w14:textId="555932B0" w:rsidR="00682161" w:rsidRPr="009B5B67" w:rsidRDefault="00682161" w:rsidP="00345B2D">
            <w:pPr>
              <w:keepLines/>
              <w:tabs>
                <w:tab w:val="left" w:pos="2401"/>
                <w:tab w:val="left" w:pos="2402"/>
              </w:tabs>
              <w:rPr>
                <w:rFonts w:cstheme="minorHAnsi"/>
                <w:color w:val="000000" w:themeColor="text1"/>
                <w:szCs w:val="20"/>
                <w:lang w:val="en-GB"/>
              </w:rPr>
            </w:pPr>
            <w:r w:rsidRPr="009B5B67">
              <w:rPr>
                <w:rFonts w:cstheme="minorHAnsi"/>
                <w:color w:val="000000" w:themeColor="text1"/>
                <w:szCs w:val="20"/>
                <w:lang w:val="en-GB"/>
              </w:rPr>
              <w:t xml:space="preserve">The </w:t>
            </w:r>
            <w:r w:rsidRPr="009B5B67">
              <w:rPr>
                <w:rFonts w:cstheme="minorHAnsi"/>
                <w:b/>
                <w:color w:val="000000" w:themeColor="text1"/>
                <w:szCs w:val="20"/>
                <w:lang w:val="en-GB"/>
              </w:rPr>
              <w:t xml:space="preserve">Ministry of Environmental Protection (MEP) </w:t>
            </w:r>
            <w:r w:rsidRPr="009B5B67">
              <w:rPr>
                <w:rFonts w:cstheme="minorHAnsi"/>
                <w:color w:val="000000" w:themeColor="text1"/>
                <w:szCs w:val="20"/>
                <w:lang w:val="en-GB"/>
              </w:rPr>
              <w:t>has as</w:t>
            </w:r>
            <w:r w:rsidRPr="009B5B67">
              <w:rPr>
                <w:rFonts w:cstheme="minorHAnsi"/>
                <w:b/>
                <w:color w:val="000000" w:themeColor="text1"/>
                <w:szCs w:val="20"/>
                <w:lang w:val="en-GB"/>
              </w:rPr>
              <w:t xml:space="preserve"> national entity</w:t>
            </w:r>
            <w:r w:rsidRPr="009B5B67">
              <w:rPr>
                <w:rFonts w:cstheme="minorHAnsi"/>
                <w:color w:val="000000" w:themeColor="text1"/>
                <w:szCs w:val="20"/>
                <w:lang w:val="en-GB"/>
              </w:rPr>
              <w:t xml:space="preserve"> the overarching cross-sectoral responsibility for coordination</w:t>
            </w:r>
            <w:r w:rsidR="009F0FC4" w:rsidRPr="009B5B67">
              <w:rPr>
                <w:rFonts w:cstheme="minorHAnsi"/>
                <w:color w:val="000000" w:themeColor="text1"/>
                <w:szCs w:val="20"/>
                <w:lang w:val="en-GB"/>
              </w:rPr>
              <w:t xml:space="preserve"> of monitoring and reporting </w:t>
            </w:r>
            <w:r w:rsidR="00847FB9" w:rsidRPr="009B5B67">
              <w:rPr>
                <w:rFonts w:cstheme="minorHAnsi"/>
                <w:color w:val="000000" w:themeColor="text1"/>
                <w:szCs w:val="20"/>
                <w:lang w:val="en-GB"/>
              </w:rPr>
              <w:t xml:space="preserve">on </w:t>
            </w:r>
            <w:r w:rsidR="00927708" w:rsidRPr="009B5B67">
              <w:rPr>
                <w:rFonts w:cstheme="minorHAnsi"/>
                <w:color w:val="000000" w:themeColor="text1"/>
                <w:szCs w:val="20"/>
                <w:lang w:val="en-GB"/>
              </w:rPr>
              <w:t xml:space="preserve">climate change PAMs </w:t>
            </w:r>
            <w:r w:rsidR="009F0FC4" w:rsidRPr="009B5B67">
              <w:rPr>
                <w:rFonts w:cstheme="minorHAnsi"/>
                <w:color w:val="000000" w:themeColor="text1"/>
                <w:szCs w:val="20"/>
                <w:lang w:val="en-GB"/>
              </w:rPr>
              <w:t xml:space="preserve">implementation </w:t>
            </w:r>
            <w:r w:rsidRPr="009B5B67">
              <w:rPr>
                <w:rFonts w:cstheme="minorHAnsi"/>
                <w:color w:val="000000" w:themeColor="text1"/>
                <w:szCs w:val="20"/>
                <w:lang w:val="en-GB"/>
              </w:rPr>
              <w:t>on national and international level.</w:t>
            </w:r>
          </w:p>
          <w:p w14:paraId="08CB1363" w14:textId="5684F04A" w:rsidR="00682161" w:rsidRPr="009B5B67" w:rsidRDefault="00682161" w:rsidP="00335ACC">
            <w:pPr>
              <w:keepLines/>
              <w:tabs>
                <w:tab w:val="left" w:pos="2401"/>
                <w:tab w:val="left" w:pos="2402"/>
              </w:tabs>
              <w:rPr>
                <w:rFonts w:cstheme="minorHAnsi"/>
                <w:color w:val="000000" w:themeColor="text1"/>
                <w:szCs w:val="20"/>
                <w:lang w:val="en-GB"/>
              </w:rPr>
            </w:pPr>
            <w:r w:rsidRPr="009B5B67">
              <w:rPr>
                <w:rFonts w:cstheme="minorHAnsi"/>
                <w:color w:val="000000" w:themeColor="text1"/>
                <w:szCs w:val="20"/>
                <w:lang w:val="en-GB"/>
              </w:rPr>
              <w:t xml:space="preserve">The </w:t>
            </w:r>
            <w:r w:rsidR="00CB0963" w:rsidRPr="009B5B67">
              <w:rPr>
                <w:rFonts w:cstheme="minorHAnsi"/>
                <w:color w:val="000000" w:themeColor="text1"/>
                <w:szCs w:val="20"/>
                <w:lang w:val="en-GB"/>
              </w:rPr>
              <w:t>Draft</w:t>
            </w:r>
            <w:r w:rsidR="00DB68C2" w:rsidRPr="009B5B67">
              <w:rPr>
                <w:rFonts w:cstheme="minorHAnsi"/>
                <w:color w:val="000000" w:themeColor="text1"/>
                <w:szCs w:val="20"/>
                <w:lang w:val="en-GB"/>
              </w:rPr>
              <w:t xml:space="preserve"> </w:t>
            </w:r>
            <w:r w:rsidRPr="009B5B67">
              <w:rPr>
                <w:rFonts w:cstheme="minorHAnsi"/>
                <w:b/>
                <w:color w:val="000000" w:themeColor="text1"/>
                <w:szCs w:val="20"/>
                <w:lang w:val="en-GB"/>
              </w:rPr>
              <w:t>Law on Climate Change (LCC)</w:t>
            </w:r>
            <w:r w:rsidRPr="009B5B67">
              <w:rPr>
                <w:rFonts w:cstheme="minorHAnsi"/>
                <w:color w:val="000000" w:themeColor="text1"/>
                <w:szCs w:val="20"/>
                <w:lang w:val="en-GB"/>
              </w:rPr>
              <w:t xml:space="preserve"> (to be adopted),</w:t>
            </w:r>
            <w:r w:rsidR="001B523C" w:rsidRPr="009B5B67">
              <w:rPr>
                <w:rFonts w:cstheme="minorHAnsi"/>
                <w:color w:val="000000" w:themeColor="text1"/>
                <w:szCs w:val="20"/>
                <w:lang w:val="en-GB"/>
              </w:rPr>
              <w:t xml:space="preserve"> </w:t>
            </w:r>
            <w:r w:rsidRPr="009B5B67">
              <w:rPr>
                <w:rFonts w:cstheme="minorHAnsi"/>
                <w:color w:val="000000" w:themeColor="text1"/>
                <w:szCs w:val="20"/>
                <w:lang w:val="en-GB"/>
              </w:rPr>
              <w:t xml:space="preserve">defines roles and responsibilities of other ministries, </w:t>
            </w:r>
            <w:proofErr w:type="gramStart"/>
            <w:r w:rsidRPr="009B5B67">
              <w:rPr>
                <w:rFonts w:cstheme="minorHAnsi"/>
                <w:color w:val="000000" w:themeColor="text1"/>
                <w:szCs w:val="20"/>
                <w:lang w:val="en-GB"/>
              </w:rPr>
              <w:t>agencies</w:t>
            </w:r>
            <w:proofErr w:type="gramEnd"/>
            <w:r w:rsidRPr="009B5B67">
              <w:rPr>
                <w:rFonts w:cstheme="minorHAnsi"/>
                <w:color w:val="000000" w:themeColor="text1"/>
                <w:szCs w:val="20"/>
                <w:lang w:val="en-GB"/>
              </w:rPr>
              <w:t xml:space="preserve"> and organ</w:t>
            </w:r>
            <w:r w:rsidR="00847FB9" w:rsidRPr="009B5B67">
              <w:rPr>
                <w:rFonts w:cstheme="minorHAnsi"/>
                <w:color w:val="000000" w:themeColor="text1"/>
                <w:szCs w:val="20"/>
                <w:lang w:val="en-GB"/>
              </w:rPr>
              <w:t>i</w:t>
            </w:r>
            <w:r w:rsidRPr="009B5B67">
              <w:rPr>
                <w:rFonts w:cstheme="minorHAnsi"/>
                <w:color w:val="000000" w:themeColor="text1"/>
                <w:szCs w:val="20"/>
                <w:lang w:val="en-GB"/>
              </w:rPr>
              <w:t>zations</w:t>
            </w:r>
            <w:r w:rsidR="00927708" w:rsidRPr="009B5B67">
              <w:rPr>
                <w:rFonts w:cstheme="minorHAnsi"/>
                <w:color w:val="000000" w:themeColor="text1"/>
                <w:szCs w:val="20"/>
                <w:lang w:val="en-GB"/>
              </w:rPr>
              <w:t>. It introduces</w:t>
            </w:r>
            <w:r w:rsidR="00882C9D" w:rsidRPr="009B5B67">
              <w:rPr>
                <w:rFonts w:cstheme="minorHAnsi"/>
                <w:color w:val="000000" w:themeColor="text1"/>
                <w:szCs w:val="20"/>
                <w:lang w:val="en-GB"/>
              </w:rPr>
              <w:t xml:space="preserve"> reporting</w:t>
            </w:r>
            <w:r w:rsidR="00927708" w:rsidRPr="009B5B67">
              <w:rPr>
                <w:rFonts w:cstheme="minorHAnsi"/>
                <w:color w:val="000000" w:themeColor="text1"/>
                <w:szCs w:val="20"/>
                <w:lang w:val="en-GB"/>
              </w:rPr>
              <w:t xml:space="preserve"> obligations</w:t>
            </w:r>
            <w:r w:rsidR="00882C9D" w:rsidRPr="009B5B67">
              <w:rPr>
                <w:rFonts w:cstheme="minorHAnsi"/>
                <w:color w:val="000000" w:themeColor="text1"/>
                <w:szCs w:val="20"/>
                <w:lang w:val="en-GB"/>
              </w:rPr>
              <w:t xml:space="preserve"> to local communities </w:t>
            </w:r>
            <w:r w:rsidR="00927708" w:rsidRPr="009B5B67">
              <w:rPr>
                <w:rFonts w:cstheme="minorHAnsi"/>
                <w:color w:val="000000" w:themeColor="text1"/>
                <w:szCs w:val="20"/>
                <w:lang w:val="en-GB"/>
              </w:rPr>
              <w:t xml:space="preserve"> </w:t>
            </w:r>
            <w:r w:rsidRPr="009B5B67">
              <w:rPr>
                <w:rFonts w:cstheme="minorHAnsi"/>
                <w:color w:val="000000" w:themeColor="text1"/>
                <w:szCs w:val="20"/>
                <w:lang w:val="en-GB"/>
              </w:rPr>
              <w:t xml:space="preserve"> as well as procedures relevant to climate change mitigation and climate change adaptation on the national and local level.</w:t>
            </w:r>
          </w:p>
          <w:p w14:paraId="7A86F232" w14:textId="443AD26A" w:rsidR="00246A38" w:rsidRPr="009B5B67" w:rsidRDefault="00B34270" w:rsidP="0016127D">
            <w:pPr>
              <w:keepLines/>
              <w:tabs>
                <w:tab w:val="left" w:pos="2401"/>
                <w:tab w:val="left" w:pos="2402"/>
              </w:tabs>
              <w:spacing w:after="0"/>
              <w:rPr>
                <w:rFonts w:cstheme="minorHAnsi"/>
                <w:color w:val="000000" w:themeColor="text1"/>
                <w:szCs w:val="20"/>
                <w:lang w:val="en-GB"/>
              </w:rPr>
            </w:pPr>
            <w:r w:rsidRPr="009B5B67">
              <w:rPr>
                <w:rFonts w:cstheme="minorHAnsi"/>
                <w:color w:val="000000" w:themeColor="text1"/>
                <w:szCs w:val="20"/>
                <w:lang w:val="en-GB"/>
              </w:rPr>
              <w:t xml:space="preserve">Moreover, gender sensitive data and indicators </w:t>
            </w:r>
            <w:r w:rsidR="00335ACC" w:rsidRPr="009B5B67">
              <w:rPr>
                <w:rFonts w:cstheme="minorHAnsi"/>
                <w:color w:val="000000" w:themeColor="text1"/>
                <w:szCs w:val="20"/>
                <w:lang w:val="en-GB"/>
              </w:rPr>
              <w:t xml:space="preserve">are identified and shall </w:t>
            </w:r>
            <w:r w:rsidR="007E660B" w:rsidRPr="009B5B67">
              <w:rPr>
                <w:rFonts w:cstheme="minorHAnsi"/>
                <w:color w:val="000000" w:themeColor="text1"/>
                <w:szCs w:val="20"/>
                <w:lang w:val="en-GB"/>
              </w:rPr>
              <w:t xml:space="preserve">be part of the MRV </w:t>
            </w:r>
            <w:r w:rsidR="0016127D" w:rsidRPr="009B5B67">
              <w:rPr>
                <w:rFonts w:cstheme="minorHAnsi"/>
                <w:color w:val="000000" w:themeColor="text1"/>
                <w:szCs w:val="20"/>
                <w:lang w:val="en-GB"/>
              </w:rPr>
              <w:t>system</w:t>
            </w:r>
            <w:r w:rsidR="00152D2E" w:rsidRPr="009B5B67">
              <w:rPr>
                <w:rStyle w:val="FootnoteReference"/>
                <w:rFonts w:cstheme="minorHAnsi"/>
                <w:color w:val="000000" w:themeColor="text1"/>
                <w:szCs w:val="20"/>
                <w:lang w:val="en-GB"/>
              </w:rPr>
              <w:footnoteReference w:id="7"/>
            </w:r>
            <w:r w:rsidR="00815E5E" w:rsidRPr="009B5B67">
              <w:rPr>
                <w:rFonts w:cstheme="minorHAnsi"/>
                <w:color w:val="000000" w:themeColor="text1"/>
                <w:szCs w:val="20"/>
                <w:lang w:val="en-GB"/>
              </w:rPr>
              <w:t xml:space="preserve"> whe</w:t>
            </w:r>
            <w:r w:rsidR="00DD6CD1" w:rsidRPr="009B5B67">
              <w:rPr>
                <w:rFonts w:cstheme="minorHAnsi"/>
                <w:color w:val="000000" w:themeColor="text1"/>
                <w:szCs w:val="20"/>
                <w:lang w:val="en-GB"/>
              </w:rPr>
              <w:t>n</w:t>
            </w:r>
            <w:r w:rsidR="00815E5E" w:rsidRPr="009B5B67">
              <w:rPr>
                <w:rFonts w:cstheme="minorHAnsi"/>
                <w:color w:val="000000" w:themeColor="text1"/>
                <w:szCs w:val="20"/>
                <w:lang w:val="en-GB"/>
              </w:rPr>
              <w:t xml:space="preserve"> the Law is adopted. </w:t>
            </w:r>
          </w:p>
        </w:tc>
      </w:tr>
      <w:tr w:rsidR="00503AE8" w:rsidRPr="00080666" w14:paraId="646CB205" w14:textId="77777777" w:rsidTr="006C0393">
        <w:trPr>
          <w:trHeight w:val="309"/>
        </w:trPr>
        <w:tc>
          <w:tcPr>
            <w:tcW w:w="3686" w:type="dxa"/>
          </w:tcPr>
          <w:p w14:paraId="6EE97ECB" w14:textId="77777777" w:rsidR="00503AE8" w:rsidRPr="009B5B67" w:rsidRDefault="00503AE8" w:rsidP="0068749B">
            <w:pPr>
              <w:pStyle w:val="ListParagraph"/>
              <w:keepNext/>
              <w:keepLines/>
              <w:widowControl w:val="0"/>
              <w:numPr>
                <w:ilvl w:val="0"/>
                <w:numId w:val="2"/>
              </w:numPr>
              <w:tabs>
                <w:tab w:val="left" w:pos="605"/>
              </w:tabs>
              <w:autoSpaceDE w:val="0"/>
              <w:autoSpaceDN w:val="0"/>
              <w:ind w:left="605" w:hanging="283"/>
              <w:contextualSpacing w:val="0"/>
              <w:rPr>
                <w:rFonts w:cstheme="minorHAnsi"/>
                <w:szCs w:val="20"/>
                <w:lang w:val="en-GB"/>
              </w:rPr>
            </w:pPr>
            <w:r w:rsidRPr="009B5B67">
              <w:rPr>
                <w:rFonts w:cstheme="minorHAnsi"/>
                <w:szCs w:val="20"/>
                <w:lang w:val="en-GB"/>
              </w:rPr>
              <w:lastRenderedPageBreak/>
              <w:t>Contextual matters, including, inter alia, as</w:t>
            </w:r>
            <w:r w:rsidRPr="009B5B67">
              <w:rPr>
                <w:rFonts w:cstheme="minorHAnsi"/>
                <w:spacing w:val="2"/>
                <w:szCs w:val="20"/>
                <w:lang w:val="en-GB"/>
              </w:rPr>
              <w:t xml:space="preserve"> </w:t>
            </w:r>
            <w:r w:rsidRPr="009B5B67">
              <w:rPr>
                <w:rFonts w:cstheme="minorHAnsi"/>
                <w:szCs w:val="20"/>
                <w:lang w:val="en-GB"/>
              </w:rPr>
              <w:t>appropriate:</w:t>
            </w:r>
          </w:p>
        </w:tc>
        <w:tc>
          <w:tcPr>
            <w:tcW w:w="6379" w:type="dxa"/>
          </w:tcPr>
          <w:p w14:paraId="0EB22CC8" w14:textId="77777777" w:rsidR="00503AE8" w:rsidRPr="009B5B67" w:rsidRDefault="00503AE8" w:rsidP="0068749B">
            <w:pPr>
              <w:keepNext/>
              <w:keepLines/>
              <w:tabs>
                <w:tab w:val="left" w:pos="1134"/>
              </w:tabs>
              <w:rPr>
                <w:rFonts w:cstheme="minorHAnsi"/>
                <w:szCs w:val="20"/>
                <w:lang w:val="en-GB"/>
              </w:rPr>
            </w:pPr>
          </w:p>
        </w:tc>
      </w:tr>
      <w:tr w:rsidR="00503AE8" w:rsidRPr="00080666" w14:paraId="04DE4D2B" w14:textId="77777777" w:rsidTr="006C0393">
        <w:trPr>
          <w:trHeight w:val="20"/>
        </w:trPr>
        <w:tc>
          <w:tcPr>
            <w:tcW w:w="3686" w:type="dxa"/>
          </w:tcPr>
          <w:p w14:paraId="38F660F4" w14:textId="77777777" w:rsidR="00503AE8" w:rsidRPr="009B5B67" w:rsidRDefault="00503AE8" w:rsidP="0068749B">
            <w:pPr>
              <w:keepNext/>
              <w:keepLines/>
              <w:tabs>
                <w:tab w:val="left" w:pos="2401"/>
                <w:tab w:val="left" w:pos="2402"/>
              </w:tabs>
              <w:ind w:left="886" w:hanging="284"/>
              <w:rPr>
                <w:rFonts w:cstheme="minorHAnsi"/>
                <w:szCs w:val="20"/>
                <w:lang w:val="en-GB"/>
              </w:rPr>
            </w:pPr>
            <w:r w:rsidRPr="009B5B67">
              <w:rPr>
                <w:rFonts w:cstheme="minorHAnsi"/>
                <w:szCs w:val="20"/>
                <w:lang w:val="en-GB"/>
              </w:rPr>
              <w:t>(a)</w:t>
            </w:r>
            <w:r w:rsidRPr="009B5B67">
              <w:rPr>
                <w:rFonts w:cstheme="minorHAnsi"/>
                <w:szCs w:val="20"/>
                <w:lang w:val="en-GB"/>
              </w:rPr>
              <w:tab/>
              <w:t xml:space="preserve">National circumstances, such as geography, climate, economy, sustainable </w:t>
            </w:r>
            <w:proofErr w:type="gramStart"/>
            <w:r w:rsidRPr="009B5B67">
              <w:rPr>
                <w:rFonts w:cstheme="minorHAnsi"/>
                <w:szCs w:val="20"/>
                <w:lang w:val="en-GB"/>
              </w:rPr>
              <w:t>development</w:t>
            </w:r>
            <w:proofErr w:type="gramEnd"/>
            <w:r w:rsidRPr="009B5B67">
              <w:rPr>
                <w:rFonts w:cstheme="minorHAnsi"/>
                <w:szCs w:val="20"/>
                <w:lang w:val="en-GB"/>
              </w:rPr>
              <w:t xml:space="preserve"> and poverty eradication</w:t>
            </w:r>
          </w:p>
        </w:tc>
        <w:tc>
          <w:tcPr>
            <w:tcW w:w="6379" w:type="dxa"/>
          </w:tcPr>
          <w:p w14:paraId="6C772558" w14:textId="47097018" w:rsidR="004309E5" w:rsidRPr="009B5B67" w:rsidRDefault="004309E5" w:rsidP="004309E5">
            <w:pPr>
              <w:spacing w:before="150" w:after="150" w:line="240" w:lineRule="auto"/>
              <w:outlineLvl w:val="2"/>
              <w:rPr>
                <w:rFonts w:ascii="Segoe UI Emoji" w:eastAsia="Times New Roman" w:hAnsi="Segoe UI Emoji" w:cs="Segoe UI"/>
                <w:sz w:val="24"/>
                <w:lang w:val="en-GB" w:eastAsia="sr-Latn-RS"/>
              </w:rPr>
            </w:pPr>
            <w:r w:rsidRPr="009B5B67">
              <w:rPr>
                <w:rFonts w:eastAsia="Times New Roman" w:cs="Arial"/>
                <w:szCs w:val="20"/>
                <w:lang w:val="en-GB" w:eastAsia="sr-Latn-RS"/>
              </w:rPr>
              <w:t>Information provided in the Second BUR</w:t>
            </w:r>
            <w:r w:rsidRPr="009B5B67">
              <w:rPr>
                <w:rFonts w:ascii="Segoe UI Emoji" w:eastAsia="Times New Roman" w:hAnsi="Segoe UI Emoji" w:cs="Segoe UI"/>
                <w:sz w:val="24"/>
                <w:lang w:val="en-GB" w:eastAsia="sr-Latn-RS"/>
              </w:rPr>
              <w:t>.</w:t>
            </w:r>
          </w:p>
          <w:p w14:paraId="0F066F08" w14:textId="4C1C15A4" w:rsidR="00503AE8" w:rsidRPr="009B5B67" w:rsidRDefault="00503AE8" w:rsidP="002A5ADD">
            <w:pPr>
              <w:keepNext/>
              <w:keepLines/>
              <w:spacing w:after="0"/>
              <w:rPr>
                <w:rFonts w:cstheme="minorHAnsi"/>
                <w:szCs w:val="20"/>
                <w:lang w:val="en-GB"/>
              </w:rPr>
            </w:pPr>
          </w:p>
        </w:tc>
      </w:tr>
      <w:tr w:rsidR="00503AE8" w:rsidRPr="00080666" w14:paraId="55D1A00B" w14:textId="77777777" w:rsidTr="006C0393">
        <w:trPr>
          <w:trHeight w:val="20"/>
        </w:trPr>
        <w:tc>
          <w:tcPr>
            <w:tcW w:w="3686" w:type="dxa"/>
          </w:tcPr>
          <w:p w14:paraId="5F431421" w14:textId="77777777" w:rsidR="00503AE8" w:rsidRPr="009B5B67" w:rsidRDefault="00503AE8" w:rsidP="00503AE8">
            <w:pPr>
              <w:tabs>
                <w:tab w:val="left" w:pos="2401"/>
                <w:tab w:val="left" w:pos="2402"/>
              </w:tabs>
              <w:ind w:left="886" w:hanging="284"/>
              <w:rPr>
                <w:rFonts w:cstheme="minorHAnsi"/>
                <w:szCs w:val="20"/>
                <w:lang w:val="en-GB"/>
              </w:rPr>
            </w:pPr>
            <w:r w:rsidRPr="009B5B67">
              <w:rPr>
                <w:rFonts w:cstheme="minorHAnsi"/>
                <w:szCs w:val="20"/>
                <w:lang w:val="en-GB"/>
              </w:rPr>
              <w:t>(b)</w:t>
            </w:r>
            <w:r w:rsidRPr="009B5B67">
              <w:rPr>
                <w:rFonts w:cstheme="minorHAnsi"/>
                <w:szCs w:val="20"/>
                <w:lang w:val="en-GB"/>
              </w:rPr>
              <w:tab/>
              <w:t>Best practices and experience related to the preparation of the nationally determined contribution</w:t>
            </w:r>
          </w:p>
        </w:tc>
        <w:tc>
          <w:tcPr>
            <w:tcW w:w="6379" w:type="dxa"/>
          </w:tcPr>
          <w:p w14:paraId="7D78499D" w14:textId="1237699F" w:rsidR="00ED7A65" w:rsidRPr="00436FA7" w:rsidRDefault="00ED7A65" w:rsidP="0066762C">
            <w:pPr>
              <w:spacing w:after="0"/>
              <w:rPr>
                <w:rFonts w:cstheme="minorHAnsi"/>
                <w:lang w:val="en-GB"/>
              </w:rPr>
            </w:pPr>
            <w:r w:rsidRPr="00481024">
              <w:rPr>
                <w:rFonts w:cstheme="minorHAnsi"/>
                <w:lang w:val="en-GB"/>
              </w:rPr>
              <w:t xml:space="preserve">Establishment of the WG for development </w:t>
            </w:r>
            <w:r w:rsidR="00EE39A3" w:rsidRPr="00481024">
              <w:rPr>
                <w:rFonts w:cstheme="minorHAnsi"/>
                <w:lang w:val="en-GB"/>
              </w:rPr>
              <w:t xml:space="preserve">of </w:t>
            </w:r>
            <w:r w:rsidRPr="00481024">
              <w:rPr>
                <w:rFonts w:cstheme="minorHAnsi"/>
                <w:lang w:val="en-GB"/>
              </w:rPr>
              <w:t>NDC</w:t>
            </w:r>
            <w:r w:rsidR="00DC0065" w:rsidRPr="00481024">
              <w:rPr>
                <w:rFonts w:cstheme="minorHAnsi"/>
                <w:lang w:val="en-GB"/>
              </w:rPr>
              <w:t xml:space="preserve"> and LCDS and AP</w:t>
            </w:r>
            <w:r w:rsidR="00EE39A3" w:rsidRPr="00481024">
              <w:rPr>
                <w:rFonts w:cstheme="minorHAnsi"/>
                <w:lang w:val="en-GB"/>
              </w:rPr>
              <w:t xml:space="preserve"> </w:t>
            </w:r>
            <w:r w:rsidRPr="00284610">
              <w:rPr>
                <w:rFonts w:cstheme="minorHAnsi"/>
                <w:lang w:val="en-GB"/>
              </w:rPr>
              <w:t>that</w:t>
            </w:r>
            <w:r w:rsidR="00EE39A3" w:rsidRPr="00284610">
              <w:rPr>
                <w:rFonts w:cstheme="minorHAnsi"/>
                <w:lang w:val="en-GB"/>
              </w:rPr>
              <w:t xml:space="preserve"> includes r</w:t>
            </w:r>
            <w:r w:rsidRPr="00284610">
              <w:rPr>
                <w:rFonts w:cstheme="minorHAnsi"/>
                <w:lang w:val="en-GB"/>
              </w:rPr>
              <w:t xml:space="preserve">epresentatives of different stakeholders and responsible institutions </w:t>
            </w:r>
            <w:r w:rsidR="00DC0065" w:rsidRPr="00436FA7">
              <w:rPr>
                <w:rFonts w:cstheme="minorHAnsi"/>
                <w:lang w:val="en-GB"/>
              </w:rPr>
              <w:t xml:space="preserve">ensured easier collection of data and information. </w:t>
            </w:r>
          </w:p>
          <w:p w14:paraId="58C73A54" w14:textId="653E601C" w:rsidR="00EC3C75" w:rsidRPr="00284610" w:rsidRDefault="00EC3C75" w:rsidP="0066762C">
            <w:pPr>
              <w:spacing w:after="0"/>
              <w:rPr>
                <w:rFonts w:cstheme="minorHAnsi"/>
                <w:lang w:val="en-GB"/>
              </w:rPr>
            </w:pPr>
            <w:r w:rsidRPr="00436FA7">
              <w:rPr>
                <w:rFonts w:cstheme="minorHAnsi"/>
                <w:lang w:val="en-GB"/>
              </w:rPr>
              <w:t xml:space="preserve">Since 2018, the </w:t>
            </w:r>
            <w:r w:rsidRPr="0066762C">
              <w:rPr>
                <w:rFonts w:cstheme="minorHAnsi"/>
                <w:lang w:val="en-GB"/>
              </w:rPr>
              <w:t>Coordination Body for Gender Equality</w:t>
            </w:r>
            <w:r w:rsidRPr="00481024">
              <w:rPr>
                <w:rFonts w:cstheme="minorHAnsi"/>
                <w:lang w:val="en-GB"/>
              </w:rPr>
              <w:t xml:space="preserve"> has </w:t>
            </w:r>
            <w:r w:rsidRPr="0066762C">
              <w:rPr>
                <w:rFonts w:cstheme="minorHAnsi"/>
                <w:lang w:val="en-GB"/>
              </w:rPr>
              <w:t>representatives in working groups</w:t>
            </w:r>
            <w:r w:rsidRPr="00481024">
              <w:rPr>
                <w:rFonts w:cstheme="minorHAnsi"/>
                <w:lang w:val="en-GB"/>
              </w:rPr>
              <w:t xml:space="preserve"> of the inter-ministerial projects supporting improvement of reporting to the UNFCCC</w:t>
            </w:r>
            <w:r w:rsidR="00827BCA" w:rsidRPr="00481024">
              <w:rPr>
                <w:rFonts w:cstheme="minorHAnsi"/>
                <w:lang w:val="en-GB"/>
              </w:rPr>
              <w:t xml:space="preserve"> in a context of </w:t>
            </w:r>
            <w:r w:rsidRPr="00284610">
              <w:rPr>
                <w:rFonts w:cstheme="minorHAnsi"/>
                <w:lang w:val="en-GB"/>
              </w:rPr>
              <w:t xml:space="preserve">gender equality. </w:t>
            </w:r>
          </w:p>
          <w:p w14:paraId="24FA0F01" w14:textId="15E5F08A" w:rsidR="00D45DB4" w:rsidRPr="004043D4" w:rsidRDefault="00D45DB4" w:rsidP="0066762C">
            <w:pPr>
              <w:spacing w:after="0"/>
              <w:rPr>
                <w:rFonts w:cstheme="minorHAnsi"/>
                <w:lang w:val="en-GB"/>
              </w:rPr>
            </w:pPr>
            <w:r w:rsidRPr="00436FA7">
              <w:rPr>
                <w:rFonts w:cstheme="minorHAnsi"/>
                <w:lang w:val="en-GB"/>
              </w:rPr>
              <w:t xml:space="preserve">The economic, </w:t>
            </w:r>
            <w:proofErr w:type="gramStart"/>
            <w:r w:rsidRPr="00436FA7">
              <w:rPr>
                <w:rFonts w:cstheme="minorHAnsi"/>
                <w:lang w:val="en-GB"/>
              </w:rPr>
              <w:t>environmental</w:t>
            </w:r>
            <w:proofErr w:type="gramEnd"/>
            <w:r w:rsidRPr="00436FA7">
              <w:rPr>
                <w:rFonts w:cstheme="minorHAnsi"/>
                <w:lang w:val="en-GB"/>
              </w:rPr>
              <w:t xml:space="preserve"> and social impacts of the </w:t>
            </w:r>
            <w:r w:rsidR="00221DA9" w:rsidRPr="00436FA7">
              <w:rPr>
                <w:rFonts w:cstheme="minorHAnsi"/>
                <w:lang w:val="en-GB"/>
              </w:rPr>
              <w:t xml:space="preserve">mitigation </w:t>
            </w:r>
            <w:r w:rsidRPr="004043D4">
              <w:rPr>
                <w:rFonts w:cstheme="minorHAnsi"/>
                <w:lang w:val="en-GB"/>
              </w:rPr>
              <w:t xml:space="preserve">measures were considered in the Strategic Environmental Assessment (SEA) </w:t>
            </w:r>
            <w:r w:rsidR="00D9004F" w:rsidRPr="004043D4">
              <w:rPr>
                <w:rFonts w:cstheme="minorHAnsi"/>
                <w:lang w:val="en-GB"/>
              </w:rPr>
              <w:t>improving the</w:t>
            </w:r>
            <w:r w:rsidR="00221DA9" w:rsidRPr="004043D4">
              <w:rPr>
                <w:rFonts w:cstheme="minorHAnsi"/>
                <w:lang w:val="en-GB"/>
              </w:rPr>
              <w:t>ir</w:t>
            </w:r>
            <w:r w:rsidR="00D9004F" w:rsidRPr="004043D4">
              <w:rPr>
                <w:rFonts w:cstheme="minorHAnsi"/>
                <w:lang w:val="en-GB"/>
              </w:rPr>
              <w:t xml:space="preserve"> quality and </w:t>
            </w:r>
            <w:r w:rsidR="00221DA9" w:rsidRPr="004043D4">
              <w:rPr>
                <w:rFonts w:cstheme="minorHAnsi"/>
                <w:lang w:val="en-GB"/>
              </w:rPr>
              <w:t>reliability</w:t>
            </w:r>
            <w:r w:rsidRPr="004043D4">
              <w:rPr>
                <w:rFonts w:cstheme="minorHAnsi"/>
                <w:lang w:val="en-GB"/>
              </w:rPr>
              <w:t xml:space="preserve">.   </w:t>
            </w:r>
          </w:p>
          <w:p w14:paraId="0C4E8C1D" w14:textId="2C7736D9" w:rsidR="006239E0" w:rsidRPr="00034223" w:rsidRDefault="00503AE8" w:rsidP="0066762C">
            <w:pPr>
              <w:spacing w:after="0"/>
              <w:rPr>
                <w:rFonts w:cstheme="minorHAnsi"/>
                <w:lang w:val="en-GB"/>
              </w:rPr>
            </w:pPr>
            <w:r w:rsidRPr="004043D4">
              <w:rPr>
                <w:rFonts w:cstheme="minorHAnsi"/>
                <w:lang w:val="en-GB"/>
              </w:rPr>
              <w:t xml:space="preserve">The NDC preparation process </w:t>
            </w:r>
            <w:r w:rsidR="00481024" w:rsidRPr="004043D4">
              <w:rPr>
                <w:rFonts w:cstheme="minorHAnsi"/>
                <w:lang w:val="en-GB"/>
              </w:rPr>
              <w:t>was</w:t>
            </w:r>
            <w:r w:rsidRPr="004043D4">
              <w:rPr>
                <w:rFonts w:cstheme="minorHAnsi"/>
                <w:lang w:val="en-GB"/>
              </w:rPr>
              <w:t xml:space="preserve"> </w:t>
            </w:r>
            <w:r w:rsidR="00B702BF" w:rsidRPr="004043D4">
              <w:rPr>
                <w:rFonts w:cstheme="minorHAnsi"/>
                <w:lang w:val="en-GB"/>
              </w:rPr>
              <w:t xml:space="preserve">not possible </w:t>
            </w:r>
            <w:r w:rsidRPr="00E24F41">
              <w:rPr>
                <w:rFonts w:cstheme="minorHAnsi"/>
                <w:lang w:val="en-GB"/>
              </w:rPr>
              <w:t xml:space="preserve">without international </w:t>
            </w:r>
            <w:r w:rsidR="00852D0D" w:rsidRPr="004D4E8A">
              <w:rPr>
                <w:rFonts w:cstheme="minorHAnsi"/>
                <w:lang w:val="en-GB"/>
              </w:rPr>
              <w:t xml:space="preserve">financial and technical support that </w:t>
            </w:r>
            <w:r w:rsidR="006239E0" w:rsidRPr="004D4E8A">
              <w:rPr>
                <w:rFonts w:cstheme="minorHAnsi"/>
                <w:lang w:val="en-GB"/>
              </w:rPr>
              <w:t>contribute</w:t>
            </w:r>
            <w:r w:rsidR="00481024" w:rsidRPr="004D4E8A">
              <w:rPr>
                <w:rFonts w:cstheme="minorHAnsi"/>
                <w:lang w:val="en-GB"/>
              </w:rPr>
              <w:t>d</w:t>
            </w:r>
            <w:r w:rsidR="006239E0" w:rsidRPr="004D4E8A">
              <w:rPr>
                <w:rFonts w:cstheme="minorHAnsi"/>
                <w:lang w:val="en-GB"/>
              </w:rPr>
              <w:t xml:space="preserve"> to</w:t>
            </w:r>
            <w:r w:rsidR="00852D0D" w:rsidRPr="004D4E8A">
              <w:rPr>
                <w:rFonts w:cstheme="minorHAnsi"/>
                <w:lang w:val="en-GB"/>
              </w:rPr>
              <w:t xml:space="preserve"> improvement of the national capacities.</w:t>
            </w:r>
            <w:r w:rsidR="006239E0" w:rsidRPr="004D4E8A">
              <w:rPr>
                <w:rFonts w:cstheme="minorHAnsi"/>
                <w:lang w:val="en-GB"/>
              </w:rPr>
              <w:t xml:space="preserve"> </w:t>
            </w:r>
          </w:p>
          <w:p w14:paraId="3DE1BE7E" w14:textId="77777777" w:rsidR="00852D0D" w:rsidRPr="00790A00" w:rsidRDefault="006239E0" w:rsidP="00481024">
            <w:pPr>
              <w:spacing w:after="0"/>
              <w:rPr>
                <w:rFonts w:cstheme="minorHAnsi"/>
                <w:lang w:val="en-GB"/>
              </w:rPr>
            </w:pPr>
            <w:r w:rsidRPr="00034223">
              <w:rPr>
                <w:rFonts w:cstheme="minorHAnsi"/>
                <w:lang w:val="en-GB"/>
              </w:rPr>
              <w:t>However,</w:t>
            </w:r>
            <w:r w:rsidR="002935DC" w:rsidRPr="00034223">
              <w:rPr>
                <w:rFonts w:cstheme="minorHAnsi"/>
                <w:lang w:val="en-GB"/>
              </w:rPr>
              <w:t xml:space="preserve"> </w:t>
            </w:r>
            <w:r w:rsidR="00F12CAA" w:rsidRPr="00034223">
              <w:rPr>
                <w:rFonts w:cstheme="minorHAnsi"/>
                <w:lang w:val="en-GB"/>
              </w:rPr>
              <w:t xml:space="preserve">there is </w:t>
            </w:r>
            <w:r w:rsidRPr="006E5F69">
              <w:rPr>
                <w:rFonts w:cstheme="minorHAnsi"/>
                <w:lang w:val="en-GB"/>
              </w:rPr>
              <w:t xml:space="preserve">still a </w:t>
            </w:r>
            <w:r w:rsidR="00F12CAA" w:rsidRPr="006E5F69">
              <w:rPr>
                <w:rFonts w:cstheme="minorHAnsi"/>
                <w:lang w:val="en-GB"/>
              </w:rPr>
              <w:t xml:space="preserve">need for </w:t>
            </w:r>
            <w:r w:rsidR="00F9731A" w:rsidRPr="006E5F69">
              <w:rPr>
                <w:rFonts w:cstheme="minorHAnsi"/>
                <w:lang w:val="en-GB"/>
              </w:rPr>
              <w:t xml:space="preserve">financial and </w:t>
            </w:r>
            <w:r w:rsidR="00F12CAA" w:rsidRPr="006E5F69">
              <w:rPr>
                <w:rFonts w:cstheme="minorHAnsi"/>
                <w:lang w:val="en-GB"/>
              </w:rPr>
              <w:t xml:space="preserve">capacity building and rising awareness </w:t>
            </w:r>
            <w:r w:rsidR="002935DC" w:rsidRPr="00CB0790">
              <w:rPr>
                <w:rFonts w:cstheme="minorHAnsi"/>
                <w:lang w:val="en-GB"/>
              </w:rPr>
              <w:t xml:space="preserve">support </w:t>
            </w:r>
            <w:r w:rsidR="00F12CAA" w:rsidRPr="00CB0790">
              <w:rPr>
                <w:rFonts w:cstheme="minorHAnsi"/>
                <w:lang w:val="en-GB"/>
              </w:rPr>
              <w:t xml:space="preserve">to </w:t>
            </w:r>
            <w:r w:rsidR="002935DC" w:rsidRPr="008D35C3">
              <w:rPr>
                <w:rFonts w:cstheme="minorHAnsi"/>
                <w:lang w:val="en-GB"/>
              </w:rPr>
              <w:t xml:space="preserve">ensure </w:t>
            </w:r>
            <w:r w:rsidR="00F12CAA" w:rsidRPr="00F21F87">
              <w:rPr>
                <w:rFonts w:cstheme="minorHAnsi"/>
                <w:lang w:val="en-GB"/>
              </w:rPr>
              <w:t>implement</w:t>
            </w:r>
            <w:r w:rsidR="002935DC" w:rsidRPr="008C387B">
              <w:rPr>
                <w:rFonts w:cstheme="minorHAnsi"/>
                <w:lang w:val="en-GB"/>
              </w:rPr>
              <w:t xml:space="preserve">ation and revision of the NDC. </w:t>
            </w:r>
          </w:p>
          <w:p w14:paraId="7FD37992" w14:textId="77777777" w:rsidR="00481024" w:rsidRDefault="00481024" w:rsidP="00481024">
            <w:pPr>
              <w:spacing w:after="0"/>
              <w:rPr>
                <w:rFonts w:cstheme="minorHAnsi"/>
                <w:lang w:val="en-GB"/>
              </w:rPr>
            </w:pPr>
          </w:p>
          <w:p w14:paraId="2B6827F5" w14:textId="3D03E541" w:rsidR="00481024" w:rsidRPr="009B5B67" w:rsidRDefault="00481024" w:rsidP="00481024">
            <w:pPr>
              <w:spacing w:after="0"/>
              <w:rPr>
                <w:rFonts w:cstheme="minorHAnsi"/>
                <w:lang w:val="en-GB"/>
              </w:rPr>
            </w:pPr>
            <w:r>
              <w:rPr>
                <w:rFonts w:cstheme="minorHAnsi"/>
                <w:lang w:val="en-GB"/>
              </w:rPr>
              <w:t>Based on Serbia´s LCDS and its Climate Finance Strategy</w:t>
            </w:r>
            <w:r w:rsidR="00284610">
              <w:rPr>
                <w:rStyle w:val="FootnoteReference"/>
                <w:rFonts w:cstheme="minorHAnsi"/>
                <w:lang w:val="en-GB"/>
              </w:rPr>
              <w:footnoteReference w:id="8"/>
            </w:r>
            <w:r>
              <w:rPr>
                <w:rFonts w:cstheme="minorHAnsi"/>
                <w:lang w:val="en-GB"/>
              </w:rPr>
              <w:t>, t</w:t>
            </w:r>
            <w:r w:rsidRPr="0066762C">
              <w:rPr>
                <w:rFonts w:cstheme="minorHAnsi"/>
                <w:lang w:val="en-GB"/>
              </w:rPr>
              <w:t>he resources required for achieving the goals set by the LCDS in the least ambitious scenario</w:t>
            </w:r>
            <w:r w:rsidRPr="0066762C">
              <w:rPr>
                <w:rFonts w:cstheme="minorHAnsi"/>
              </w:rPr>
              <w:footnoteReference w:id="9"/>
            </w:r>
            <w:r w:rsidRPr="0066762C">
              <w:rPr>
                <w:rFonts w:cstheme="minorHAnsi"/>
                <w:lang w:val="en-GB"/>
              </w:rPr>
              <w:t xml:space="preserve"> (i.e., “M2” as defined by the draft Strategy) are estimated at EUR 6.5 billion until 2030 and anywhere between EUR 37.8 and 76.8 billion in the period from 2030 and 2050, of which more than 97% refer to the energy sector. The LCDS provides an estimate of the financing mix and determines that in the period from 2020 until 2030 consumers will bear the largest financial burden (i.e., 63%), 33% will be financed by investors, while the Government is expected to effectively finance 4% of the estimated cost.</w:t>
            </w:r>
          </w:p>
        </w:tc>
      </w:tr>
      <w:tr w:rsidR="001A384F" w:rsidRPr="00080666" w14:paraId="1F0A7426" w14:textId="77777777" w:rsidTr="005D623B">
        <w:trPr>
          <w:trHeight w:val="280"/>
        </w:trPr>
        <w:tc>
          <w:tcPr>
            <w:tcW w:w="3686" w:type="dxa"/>
            <w:tcBorders>
              <w:bottom w:val="single" w:sz="4" w:space="0" w:color="auto"/>
            </w:tcBorders>
          </w:tcPr>
          <w:p w14:paraId="65F5AF1E" w14:textId="77777777" w:rsidR="001A384F" w:rsidRPr="009B5B67" w:rsidRDefault="001A384F" w:rsidP="00503AE8">
            <w:pPr>
              <w:tabs>
                <w:tab w:val="left" w:pos="2401"/>
                <w:tab w:val="left" w:pos="2402"/>
              </w:tabs>
              <w:ind w:left="886" w:hanging="284"/>
              <w:rPr>
                <w:rFonts w:cstheme="minorHAnsi"/>
                <w:szCs w:val="20"/>
                <w:lang w:val="en-GB"/>
              </w:rPr>
            </w:pPr>
            <w:r w:rsidRPr="009B5B67">
              <w:rPr>
                <w:rFonts w:cstheme="minorHAnsi"/>
                <w:szCs w:val="20"/>
                <w:lang w:val="en-GB"/>
              </w:rPr>
              <w:t>(c)</w:t>
            </w:r>
            <w:r w:rsidRPr="009B5B67">
              <w:rPr>
                <w:rFonts w:cstheme="minorHAnsi"/>
                <w:szCs w:val="20"/>
                <w:lang w:val="en-GB"/>
              </w:rPr>
              <w:tab/>
              <w:t>Other contextual aspirations and priorities acknowledged when joining the Paris Agreement</w:t>
            </w:r>
          </w:p>
        </w:tc>
        <w:tc>
          <w:tcPr>
            <w:tcW w:w="6379" w:type="dxa"/>
            <w:vMerge w:val="restart"/>
          </w:tcPr>
          <w:p w14:paraId="0D5AB2D2" w14:textId="49B31EBD" w:rsidR="001A384F" w:rsidRPr="009B5B67" w:rsidRDefault="001A384F" w:rsidP="00300DBE">
            <w:pPr>
              <w:rPr>
                <w:lang w:val="en-GB"/>
              </w:rPr>
            </w:pPr>
            <w:r w:rsidRPr="009B5B67">
              <w:rPr>
                <w:lang w:val="en-GB"/>
              </w:rPr>
              <w:t xml:space="preserve">Serbia </w:t>
            </w:r>
            <w:r w:rsidR="0066762C">
              <w:rPr>
                <w:lang w:val="en-GB"/>
              </w:rPr>
              <w:t>faces</w:t>
            </w:r>
            <w:r w:rsidRPr="009B5B67">
              <w:rPr>
                <w:lang w:val="en-GB"/>
              </w:rPr>
              <w:t xml:space="preserve"> a particular challenge related to the direct impacts of low carbon development in the coal sector and its workers, and in the coal regions and their communities. It is of the utmost importance to include elements of a just transition in planning towards low carbon </w:t>
            </w:r>
            <w:r w:rsidRPr="009B5B67">
              <w:rPr>
                <w:lang w:val="en-GB"/>
              </w:rPr>
              <w:lastRenderedPageBreak/>
              <w:t>development</w:t>
            </w:r>
            <w:r w:rsidRPr="009B5B67">
              <w:rPr>
                <w:rStyle w:val="FootnoteReference"/>
                <w:lang w:val="en-GB"/>
              </w:rPr>
              <w:footnoteReference w:id="10"/>
            </w:r>
            <w:r w:rsidRPr="009B5B67">
              <w:rPr>
                <w:lang w:val="en-GB"/>
              </w:rPr>
              <w:t xml:space="preserve">. A low carbon energy system requires different labour skills than a fossil </w:t>
            </w:r>
            <w:proofErr w:type="gramStart"/>
            <w:r w:rsidRPr="009B5B67">
              <w:rPr>
                <w:lang w:val="en-GB"/>
              </w:rPr>
              <w:t>fuel based</w:t>
            </w:r>
            <w:proofErr w:type="gramEnd"/>
            <w:r w:rsidRPr="009B5B67">
              <w:rPr>
                <w:lang w:val="en-GB"/>
              </w:rPr>
              <w:t xml:space="preserve"> economy. As the development of skills takes time, the early planning for making such skills available is essential.</w:t>
            </w:r>
          </w:p>
          <w:p w14:paraId="32A326C0" w14:textId="1409C62C" w:rsidR="001A384F" w:rsidRPr="009B5B67" w:rsidRDefault="001A384F" w:rsidP="00424211">
            <w:pPr>
              <w:pStyle w:val="ListParagraph"/>
              <w:spacing w:line="276" w:lineRule="auto"/>
              <w:ind w:left="0"/>
              <w:contextualSpacing w:val="0"/>
              <w:rPr>
                <w:rFonts w:cstheme="majorHAnsi"/>
                <w:szCs w:val="20"/>
                <w:lang w:val="en-GB"/>
              </w:rPr>
            </w:pPr>
            <w:r w:rsidRPr="009B5B67">
              <w:rPr>
                <w:rFonts w:cs="Arial"/>
                <w:szCs w:val="20"/>
                <w:lang w:val="en-GB"/>
              </w:rPr>
              <w:t>Serbia suffered damages</w:t>
            </w:r>
            <w:r w:rsidRPr="009B5B67">
              <w:rPr>
                <w:rFonts w:cstheme="majorHAnsi"/>
                <w:szCs w:val="20"/>
                <w:lang w:val="en-GB"/>
              </w:rPr>
              <w:t xml:space="preserve"> caused by climate change and extreme weather events (in the period 2000-2015 </w:t>
            </w:r>
            <w:r w:rsidRPr="009B5B67">
              <w:rPr>
                <w:rFonts w:cs="Arial"/>
                <w:szCs w:val="20"/>
                <w:lang w:val="en-GB"/>
              </w:rPr>
              <w:t>minimum EUR 1.8 billion, additional to</w:t>
            </w:r>
            <w:r w:rsidRPr="009B5B67">
              <w:rPr>
                <w:rFonts w:cs="Arial"/>
                <w:szCs w:val="20"/>
                <w:u w:val="single"/>
                <w:lang w:val="en-GB"/>
              </w:rPr>
              <w:t xml:space="preserve"> </w:t>
            </w:r>
            <w:r w:rsidRPr="009B5B67">
              <w:rPr>
                <w:rFonts w:cstheme="majorHAnsi"/>
                <w:szCs w:val="20"/>
                <w:lang w:val="en-GB"/>
              </w:rPr>
              <w:t xml:space="preserve">EUR 5 billion in </w:t>
            </w:r>
            <w:r w:rsidRPr="009B5B67">
              <w:rPr>
                <w:rFonts w:cs="Arial"/>
                <w:szCs w:val="20"/>
                <w:lang w:val="en-GB"/>
              </w:rPr>
              <w:t>the period 2015-2020)</w:t>
            </w:r>
            <w:r w:rsidRPr="009B5B67">
              <w:rPr>
                <w:rFonts w:cstheme="majorHAnsi"/>
                <w:szCs w:val="20"/>
                <w:lang w:val="en-GB"/>
              </w:rPr>
              <w:t>.</w:t>
            </w:r>
          </w:p>
          <w:p w14:paraId="0279A7E8" w14:textId="45A15D74" w:rsidR="001A384F" w:rsidRPr="009B5B67" w:rsidRDefault="001A384F" w:rsidP="00F7712C">
            <w:pPr>
              <w:rPr>
                <w:rFonts w:cstheme="majorHAnsi"/>
                <w:szCs w:val="20"/>
                <w:lang w:val="en-GB"/>
              </w:rPr>
            </w:pPr>
            <w:r w:rsidRPr="009B5B67">
              <w:rPr>
                <w:rFonts w:cstheme="minorHAnsi"/>
                <w:szCs w:val="20"/>
                <w:lang w:val="en-GB"/>
              </w:rPr>
              <w:t>With significant contribution of the agricultural production to total gross domestic product, the overall national economy of the Republic of Serbia is sensitive to all factors that affect agriculture.</w:t>
            </w:r>
            <w:r w:rsidRPr="009B5B67">
              <w:rPr>
                <w:rStyle w:val="FootnoteReference"/>
                <w:rFonts w:cstheme="minorHAnsi"/>
                <w:szCs w:val="20"/>
                <w:lang w:val="en-GB"/>
              </w:rPr>
              <w:footnoteReference w:id="11"/>
            </w:r>
            <w:r w:rsidRPr="009B5B67">
              <w:rPr>
                <w:rFonts w:cstheme="minorHAnsi"/>
                <w:szCs w:val="20"/>
                <w:lang w:val="en-GB"/>
              </w:rPr>
              <w:t xml:space="preserve"> Impacts of climate change on crop production and livestock production have impact on food storage and food processing sectors in Serbia.</w:t>
            </w:r>
          </w:p>
          <w:p w14:paraId="66D9B362" w14:textId="118188D3" w:rsidR="001A384F" w:rsidRPr="009B5B67" w:rsidRDefault="001A384F" w:rsidP="001F0DB3">
            <w:pPr>
              <w:rPr>
                <w:lang w:val="en-GB"/>
              </w:rPr>
            </w:pPr>
            <w:r w:rsidRPr="009B5B67">
              <w:rPr>
                <w:lang w:val="en-GB"/>
              </w:rPr>
              <w:t xml:space="preserve">Effects and impacts of climate change on water sector will be reflected in shortage of water, more periods of intense drought and areas affected by droughts and an increased duration of low-flow conditions in rivers and resulting law level water quality.  </w:t>
            </w:r>
          </w:p>
          <w:p w14:paraId="4D9D978E" w14:textId="77777777" w:rsidR="001A384F" w:rsidRPr="009B5B67" w:rsidRDefault="001A384F" w:rsidP="001F0DB3">
            <w:pPr>
              <w:rPr>
                <w:lang w:val="en-GB"/>
              </w:rPr>
            </w:pPr>
            <w:r w:rsidRPr="009B5B67">
              <w:rPr>
                <w:lang w:val="en-GB"/>
              </w:rPr>
              <w:t xml:space="preserve">The majority of the working population in Serbia </w:t>
            </w:r>
            <w:proofErr w:type="gramStart"/>
            <w:r w:rsidRPr="009B5B67">
              <w:rPr>
                <w:lang w:val="en-GB"/>
              </w:rPr>
              <w:t>are</w:t>
            </w:r>
            <w:proofErr w:type="gramEnd"/>
            <w:r w:rsidRPr="009B5B67">
              <w:rPr>
                <w:lang w:val="en-GB"/>
              </w:rPr>
              <w:t xml:space="preserve"> men.  Recognizing the issue Coordination Body for Gender Equality was established in 2014 and a National Strategy for Gender Equality for the period 2016-2020 with Action plan was prepared and adopted. </w:t>
            </w:r>
          </w:p>
          <w:p w14:paraId="4A68DA48" w14:textId="77777777" w:rsidR="001A384F" w:rsidRPr="009B5B67" w:rsidRDefault="001A384F" w:rsidP="00E6190B">
            <w:pPr>
              <w:rPr>
                <w:lang w:val="en-GB"/>
              </w:rPr>
            </w:pPr>
            <w:r w:rsidRPr="009B5B67">
              <w:rPr>
                <w:lang w:val="en-GB"/>
              </w:rPr>
              <w:t xml:space="preserve">Thus. the situation on the </w:t>
            </w:r>
            <w:proofErr w:type="spellStart"/>
            <w:r w:rsidRPr="009B5B67">
              <w:rPr>
                <w:lang w:val="en-GB"/>
              </w:rPr>
              <w:t>labor</w:t>
            </w:r>
            <w:proofErr w:type="spellEnd"/>
            <w:r w:rsidRPr="009B5B67">
              <w:rPr>
                <w:lang w:val="en-GB"/>
              </w:rPr>
              <w:t xml:space="preserve"> market has improved with the recovery from the economic crisis and floods, so activity rates have increased for both women and men (to 60.6% and 75.1% in 2018, respectively), but the gender gap is still present</w:t>
            </w:r>
            <w:r w:rsidRPr="009B5B67">
              <w:rPr>
                <w:rFonts w:eastAsia="Calibri"/>
                <w:vertAlign w:val="superscript"/>
                <w:lang w:val="en-GB"/>
              </w:rPr>
              <w:footnoteReference w:id="12"/>
            </w:r>
            <w:r w:rsidRPr="009B5B67">
              <w:rPr>
                <w:lang w:val="en-GB"/>
              </w:rPr>
              <w:t xml:space="preserve">. </w:t>
            </w:r>
          </w:p>
          <w:p w14:paraId="764B2154" w14:textId="77777777" w:rsidR="001A384F" w:rsidRPr="009B5B67" w:rsidRDefault="001A384F" w:rsidP="001A384F">
            <w:pPr>
              <w:keepNext/>
              <w:keepLines/>
              <w:rPr>
                <w:rFonts w:cstheme="minorHAnsi"/>
                <w:b/>
                <w:szCs w:val="20"/>
                <w:lang w:val="en-GB"/>
              </w:rPr>
            </w:pPr>
            <w:r w:rsidRPr="009B5B67">
              <w:rPr>
                <w:lang w:val="en-GB"/>
              </w:rPr>
              <w:t>The combustion of solid and liquid fuels for power generation, domestic heating and in vehicle engines result in the emissions of air pollutants that have harmful effects on human health, in addition to the GHGs emissions. The overall health impact of air pollution for the whole of the urban areas in Serbia (not just the 11 cities studied in detail) was estimated at 6 394 attributable deaths.</w:t>
            </w:r>
            <w:r w:rsidRPr="009B5B67">
              <w:rPr>
                <w:rStyle w:val="FootnoteReference"/>
                <w:lang w:val="en-GB"/>
              </w:rPr>
              <w:footnoteReference w:id="13"/>
            </w:r>
            <w:r w:rsidRPr="009B5B67">
              <w:rPr>
                <w:rFonts w:cstheme="minorHAnsi"/>
                <w:b/>
                <w:szCs w:val="20"/>
                <w:lang w:val="en-GB"/>
              </w:rPr>
              <w:t xml:space="preserve"> </w:t>
            </w:r>
          </w:p>
          <w:p w14:paraId="09766B99" w14:textId="12A6375E" w:rsidR="001A384F" w:rsidRPr="009B5B67" w:rsidRDefault="001A384F" w:rsidP="001A384F">
            <w:pPr>
              <w:keepNext/>
              <w:keepLines/>
              <w:rPr>
                <w:rFonts w:cstheme="minorHAnsi"/>
                <w:b/>
                <w:szCs w:val="20"/>
                <w:lang w:val="en-GB"/>
              </w:rPr>
            </w:pPr>
            <w:r w:rsidRPr="009B5B67">
              <w:rPr>
                <w:rFonts w:cstheme="minorHAnsi"/>
                <w:b/>
                <w:szCs w:val="20"/>
                <w:lang w:val="en-GB"/>
              </w:rPr>
              <w:t>Air quality protection and resilience to climate change – Reduction of short-lived climate pollutants (SLCPs)</w:t>
            </w:r>
          </w:p>
        </w:tc>
      </w:tr>
      <w:tr w:rsidR="001A384F" w:rsidRPr="00080666" w14:paraId="04D5D225" w14:textId="77777777" w:rsidTr="005D623B">
        <w:trPr>
          <w:trHeight w:val="4260"/>
        </w:trPr>
        <w:tc>
          <w:tcPr>
            <w:tcW w:w="3686" w:type="dxa"/>
            <w:tcBorders>
              <w:top w:val="nil"/>
              <w:bottom w:val="single" w:sz="4" w:space="0" w:color="auto"/>
            </w:tcBorders>
          </w:tcPr>
          <w:p w14:paraId="0EA32E3B" w14:textId="77777777" w:rsidR="001A384F" w:rsidRPr="009B5B67" w:rsidRDefault="001A384F" w:rsidP="00503AE8">
            <w:pPr>
              <w:tabs>
                <w:tab w:val="left" w:pos="2401"/>
                <w:tab w:val="left" w:pos="2402"/>
              </w:tabs>
              <w:ind w:left="886" w:hanging="284"/>
              <w:rPr>
                <w:rFonts w:cstheme="minorHAnsi"/>
                <w:szCs w:val="20"/>
                <w:lang w:val="en-GB"/>
              </w:rPr>
            </w:pPr>
          </w:p>
        </w:tc>
        <w:tc>
          <w:tcPr>
            <w:tcW w:w="6379" w:type="dxa"/>
            <w:vMerge/>
            <w:tcBorders>
              <w:bottom w:val="single" w:sz="4" w:space="0" w:color="auto"/>
            </w:tcBorders>
          </w:tcPr>
          <w:p w14:paraId="6CD364FB" w14:textId="0EC8DA3C" w:rsidR="001A384F" w:rsidRPr="009B5B67" w:rsidRDefault="001A384F" w:rsidP="00853BE8">
            <w:pPr>
              <w:rPr>
                <w:lang w:val="en-GB"/>
              </w:rPr>
            </w:pPr>
          </w:p>
        </w:tc>
      </w:tr>
      <w:tr w:rsidR="00503AE8" w:rsidRPr="00080666" w14:paraId="39FE769C" w14:textId="77777777" w:rsidTr="006C0393">
        <w:trPr>
          <w:trHeight w:val="20"/>
        </w:trPr>
        <w:tc>
          <w:tcPr>
            <w:tcW w:w="3686" w:type="dxa"/>
          </w:tcPr>
          <w:p w14:paraId="213AFC37" w14:textId="77777777" w:rsidR="00503AE8" w:rsidRPr="009B5B67" w:rsidRDefault="00503AE8" w:rsidP="002B4331">
            <w:pPr>
              <w:keepLines/>
              <w:tabs>
                <w:tab w:val="left" w:pos="2401"/>
                <w:tab w:val="left" w:pos="2402"/>
              </w:tabs>
              <w:ind w:left="322" w:hanging="322"/>
              <w:rPr>
                <w:rFonts w:cstheme="minorHAnsi"/>
                <w:szCs w:val="20"/>
                <w:lang w:val="en-GB"/>
              </w:rPr>
            </w:pPr>
            <w:r w:rsidRPr="009B5B67">
              <w:rPr>
                <w:rFonts w:cstheme="minorHAnsi"/>
                <w:szCs w:val="20"/>
                <w:lang w:val="en-GB"/>
              </w:rPr>
              <w:lastRenderedPageBreak/>
              <w:t>(b)</w:t>
            </w:r>
            <w:r w:rsidRPr="009B5B67">
              <w:rPr>
                <w:rFonts w:cstheme="minorHAnsi"/>
                <w:szCs w:val="20"/>
                <w:lang w:val="en-GB"/>
              </w:rPr>
              <w:tab/>
              <w:t>Specific information applicable to Parties, including regional economic integration organizations and their member States, that have reached an agreement to act jointly</w:t>
            </w:r>
            <w:r w:rsidRPr="009B5B67">
              <w:rPr>
                <w:rFonts w:cstheme="minorHAnsi"/>
                <w:spacing w:val="-13"/>
                <w:szCs w:val="20"/>
                <w:lang w:val="en-GB"/>
              </w:rPr>
              <w:t xml:space="preserve"> </w:t>
            </w:r>
            <w:r w:rsidRPr="009B5B67">
              <w:rPr>
                <w:rFonts w:cstheme="minorHAnsi"/>
                <w:szCs w:val="20"/>
                <w:lang w:val="en-GB"/>
              </w:rPr>
              <w:t>under</w:t>
            </w:r>
            <w:r w:rsidRPr="009B5B67">
              <w:rPr>
                <w:rFonts w:cstheme="minorHAnsi"/>
                <w:spacing w:val="-5"/>
                <w:szCs w:val="20"/>
                <w:lang w:val="en-GB"/>
              </w:rPr>
              <w:t xml:space="preserve"> </w:t>
            </w:r>
            <w:r w:rsidRPr="009B5B67">
              <w:rPr>
                <w:rFonts w:cstheme="minorHAnsi"/>
                <w:szCs w:val="20"/>
                <w:lang w:val="en-GB"/>
              </w:rPr>
              <w:t>Article 4, paragraph 2, of the Paris Agreement, including the Parties that agreed to act jointly and the terms of the agreement, in accordance with Article 4, paragraphs 16–18, of the Paris Agreement;</w:t>
            </w:r>
          </w:p>
        </w:tc>
        <w:tc>
          <w:tcPr>
            <w:tcW w:w="6379" w:type="dxa"/>
          </w:tcPr>
          <w:p w14:paraId="1C807E9A" w14:textId="77777777" w:rsidR="00F87760" w:rsidRPr="009B5B67" w:rsidRDefault="0060232A" w:rsidP="005B59FD">
            <w:pPr>
              <w:keepLines/>
              <w:tabs>
                <w:tab w:val="left" w:pos="2402"/>
              </w:tabs>
              <w:rPr>
                <w:rFonts w:cstheme="minorHAnsi"/>
                <w:szCs w:val="20"/>
                <w:lang w:val="en-GB"/>
              </w:rPr>
            </w:pPr>
            <w:r w:rsidRPr="009B5B67">
              <w:rPr>
                <w:rFonts w:cstheme="minorHAnsi"/>
                <w:szCs w:val="20"/>
                <w:lang w:val="en-GB"/>
              </w:rPr>
              <w:t>T</w:t>
            </w:r>
            <w:r w:rsidR="00503AE8" w:rsidRPr="009B5B67">
              <w:rPr>
                <w:rFonts w:cstheme="minorHAnsi"/>
                <w:szCs w:val="20"/>
                <w:lang w:val="en-GB"/>
              </w:rPr>
              <w:t>he Republic of Serbia has signed the Association Agreement with the European Union in 2012</w:t>
            </w:r>
            <w:r w:rsidR="00B702BF" w:rsidRPr="009B5B67">
              <w:rPr>
                <w:rFonts w:cstheme="minorHAnsi"/>
                <w:szCs w:val="20"/>
                <w:lang w:val="en-GB"/>
              </w:rPr>
              <w:t>,</w:t>
            </w:r>
            <w:r w:rsidR="00503AE8" w:rsidRPr="009B5B67">
              <w:rPr>
                <w:rFonts w:cstheme="minorHAnsi"/>
                <w:szCs w:val="20"/>
                <w:lang w:val="en-GB"/>
              </w:rPr>
              <w:t xml:space="preserve"> the Stabilization and Association Agreement (SAA) between Serbia and the EU entered into force in September 2013.</w:t>
            </w:r>
            <w:r w:rsidR="00503AE8" w:rsidRPr="009B5B67">
              <w:rPr>
                <w:rStyle w:val="FootnoteReference"/>
                <w:lang w:val="en-GB"/>
              </w:rPr>
              <w:footnoteReference w:id="14"/>
            </w:r>
            <w:r w:rsidR="00503AE8" w:rsidRPr="009B5B67">
              <w:rPr>
                <w:lang w:val="en-GB"/>
              </w:rPr>
              <w:t xml:space="preserve"> </w:t>
            </w:r>
          </w:p>
          <w:p w14:paraId="78CF0BA3" w14:textId="7874A1B0" w:rsidR="00503AE8" w:rsidRPr="009B5B67" w:rsidRDefault="00503AE8" w:rsidP="003E39E5">
            <w:pPr>
              <w:keepLines/>
              <w:tabs>
                <w:tab w:val="left" w:pos="2402"/>
              </w:tabs>
              <w:spacing w:after="0"/>
              <w:rPr>
                <w:szCs w:val="20"/>
                <w:lang w:val="en-GB"/>
              </w:rPr>
            </w:pPr>
            <w:r w:rsidRPr="009B5B67">
              <w:rPr>
                <w:szCs w:val="20"/>
                <w:lang w:val="en-GB"/>
              </w:rPr>
              <w:t>T</w:t>
            </w:r>
            <w:r w:rsidR="00F87760" w:rsidRPr="009B5B67">
              <w:rPr>
                <w:szCs w:val="20"/>
                <w:lang w:val="en-GB"/>
              </w:rPr>
              <w:t>hus, t</w:t>
            </w:r>
            <w:r w:rsidRPr="009B5B67">
              <w:rPr>
                <w:szCs w:val="20"/>
                <w:lang w:val="en-GB"/>
              </w:rPr>
              <w:t xml:space="preserve">he country has </w:t>
            </w:r>
            <w:r w:rsidRPr="009B5B67">
              <w:rPr>
                <w:b/>
                <w:szCs w:val="20"/>
                <w:lang w:val="en-GB"/>
              </w:rPr>
              <w:t xml:space="preserve">committed to aligning its </w:t>
            </w:r>
            <w:r w:rsidR="00F87760" w:rsidRPr="009B5B67">
              <w:rPr>
                <w:b/>
                <w:szCs w:val="20"/>
                <w:lang w:val="en-GB"/>
              </w:rPr>
              <w:t xml:space="preserve">legislation </w:t>
            </w:r>
            <w:r w:rsidRPr="009B5B67">
              <w:rPr>
                <w:b/>
                <w:szCs w:val="20"/>
                <w:lang w:val="en-GB"/>
              </w:rPr>
              <w:t>on climate change</w:t>
            </w:r>
            <w:r w:rsidRPr="009B5B67">
              <w:rPr>
                <w:szCs w:val="20"/>
                <w:lang w:val="en-GB"/>
              </w:rPr>
              <w:t xml:space="preserve"> </w:t>
            </w:r>
            <w:r w:rsidRPr="009B5B67">
              <w:rPr>
                <w:b/>
                <w:szCs w:val="20"/>
                <w:lang w:val="en-GB"/>
              </w:rPr>
              <w:t>to the EU</w:t>
            </w:r>
            <w:r w:rsidRPr="009B5B67">
              <w:rPr>
                <w:szCs w:val="20"/>
                <w:lang w:val="en-GB"/>
              </w:rPr>
              <w:t xml:space="preserve"> </w:t>
            </w:r>
            <w:r w:rsidR="003E39E5" w:rsidRPr="009B5B67">
              <w:rPr>
                <w:szCs w:val="20"/>
                <w:lang w:val="en-GB"/>
              </w:rPr>
              <w:t xml:space="preserve">acquis that will significantly contribute to the GHG emission reduction. </w:t>
            </w:r>
            <w:r w:rsidRPr="009B5B67">
              <w:rPr>
                <w:szCs w:val="20"/>
                <w:lang w:val="en-GB"/>
              </w:rPr>
              <w:t xml:space="preserve"> </w:t>
            </w:r>
          </w:p>
        </w:tc>
      </w:tr>
      <w:tr w:rsidR="00503AE8" w:rsidRPr="00080666" w14:paraId="575E8703" w14:textId="77777777" w:rsidTr="006C0393">
        <w:trPr>
          <w:trHeight w:val="20"/>
        </w:trPr>
        <w:tc>
          <w:tcPr>
            <w:tcW w:w="3686" w:type="dxa"/>
          </w:tcPr>
          <w:p w14:paraId="72190507" w14:textId="77777777" w:rsidR="00503AE8" w:rsidRPr="009B5B67" w:rsidRDefault="00503AE8" w:rsidP="006925C7">
            <w:pPr>
              <w:keepNext/>
              <w:keepLines/>
              <w:tabs>
                <w:tab w:val="left" w:pos="2401"/>
                <w:tab w:val="left" w:pos="2402"/>
              </w:tabs>
              <w:ind w:left="322" w:hanging="322"/>
              <w:rPr>
                <w:rFonts w:cstheme="minorHAnsi"/>
                <w:szCs w:val="20"/>
                <w:lang w:val="en-GB"/>
              </w:rPr>
            </w:pPr>
            <w:r w:rsidRPr="009B5B67">
              <w:rPr>
                <w:rFonts w:cstheme="minorHAnsi"/>
                <w:szCs w:val="20"/>
                <w:lang w:val="en-GB"/>
              </w:rPr>
              <w:t>(c)</w:t>
            </w:r>
            <w:r w:rsidRPr="009B5B67">
              <w:rPr>
                <w:rFonts w:cstheme="minorHAnsi"/>
                <w:szCs w:val="20"/>
                <w:lang w:val="en-GB"/>
              </w:rPr>
              <w:tab/>
              <w:t>How the Party’s preparation of its nationally determined contribution has been informed by the outcomes of the global stocktake, in accordance with Article 4, paragraph 9, of the Paris Agreement</w:t>
            </w:r>
          </w:p>
        </w:tc>
        <w:tc>
          <w:tcPr>
            <w:tcW w:w="6379" w:type="dxa"/>
          </w:tcPr>
          <w:p w14:paraId="44E2CCE3" w14:textId="77777777" w:rsidR="00503AE8" w:rsidRPr="009B5B67" w:rsidRDefault="00503AE8" w:rsidP="006925C7">
            <w:pPr>
              <w:keepNext/>
              <w:keepLines/>
              <w:tabs>
                <w:tab w:val="left" w:pos="2402"/>
              </w:tabs>
              <w:rPr>
                <w:rFonts w:cstheme="minorHAnsi"/>
                <w:szCs w:val="20"/>
                <w:lang w:val="en-GB"/>
              </w:rPr>
            </w:pPr>
            <w:r w:rsidRPr="009B5B67">
              <w:rPr>
                <w:rFonts w:cstheme="minorHAnsi"/>
                <w:szCs w:val="20"/>
                <w:lang w:val="en-GB"/>
              </w:rPr>
              <w:t xml:space="preserve">During COP 24, high-level representatives of the Delegation of the Republic of Serbia participated in the </w:t>
            </w:r>
            <w:proofErr w:type="spellStart"/>
            <w:r w:rsidRPr="009B5B67">
              <w:rPr>
                <w:rFonts w:cstheme="minorHAnsi"/>
                <w:b/>
                <w:szCs w:val="20"/>
                <w:lang w:val="en-GB"/>
              </w:rPr>
              <w:t>Talanoa</w:t>
            </w:r>
            <w:proofErr w:type="spellEnd"/>
            <w:r w:rsidRPr="009B5B67">
              <w:rPr>
                <w:rFonts w:cstheme="minorHAnsi"/>
                <w:b/>
                <w:szCs w:val="20"/>
                <w:lang w:val="en-GB"/>
              </w:rPr>
              <w:t xml:space="preserve"> Dialogue </w:t>
            </w:r>
            <w:proofErr w:type="gramStart"/>
            <w:r w:rsidRPr="009B5B67">
              <w:rPr>
                <w:rFonts w:cstheme="minorHAnsi"/>
                <w:b/>
                <w:szCs w:val="20"/>
                <w:lang w:val="en-GB"/>
              </w:rPr>
              <w:t>round-tables</w:t>
            </w:r>
            <w:proofErr w:type="gramEnd"/>
            <w:r w:rsidRPr="009B5B67">
              <w:rPr>
                <w:rFonts w:cstheme="minorHAnsi"/>
                <w:szCs w:val="20"/>
                <w:lang w:val="en-GB"/>
              </w:rPr>
              <w:t xml:space="preserve">. </w:t>
            </w:r>
          </w:p>
          <w:p w14:paraId="2E23DA61" w14:textId="77777777" w:rsidR="00004E1E" w:rsidRPr="009B5B67" w:rsidRDefault="00503AE8" w:rsidP="00004E1E">
            <w:pPr>
              <w:keepNext/>
              <w:keepLines/>
              <w:tabs>
                <w:tab w:val="left" w:pos="2402"/>
              </w:tabs>
              <w:rPr>
                <w:rFonts w:cstheme="minorHAnsi"/>
                <w:szCs w:val="20"/>
                <w:lang w:val="en-GB"/>
              </w:rPr>
            </w:pPr>
            <w:r w:rsidRPr="009B5B67">
              <w:rPr>
                <w:rFonts w:cstheme="minorHAnsi"/>
                <w:szCs w:val="20"/>
                <w:lang w:val="en-GB"/>
              </w:rPr>
              <w:t>In May 2018, in cooperation with the European Commission</w:t>
            </w:r>
            <w:r w:rsidR="00AA2702" w:rsidRPr="009B5B67">
              <w:rPr>
                <w:rFonts w:cstheme="minorHAnsi"/>
                <w:szCs w:val="20"/>
                <w:lang w:val="en-GB"/>
              </w:rPr>
              <w:t xml:space="preserve"> (EC)</w:t>
            </w:r>
            <w:r w:rsidR="00B702BF" w:rsidRPr="009B5B67">
              <w:rPr>
                <w:rFonts w:cstheme="minorHAnsi"/>
                <w:szCs w:val="20"/>
                <w:lang w:val="en-GB"/>
              </w:rPr>
              <w:t>,</w:t>
            </w:r>
            <w:r w:rsidRPr="009B5B67">
              <w:rPr>
                <w:rFonts w:cstheme="minorHAnsi"/>
                <w:szCs w:val="20"/>
                <w:lang w:val="en-GB"/>
              </w:rPr>
              <w:t xml:space="preserve"> an </w:t>
            </w:r>
            <w:r w:rsidRPr="009B5B67">
              <w:rPr>
                <w:rFonts w:cstheme="minorHAnsi"/>
                <w:b/>
                <w:szCs w:val="20"/>
                <w:lang w:val="en-GB"/>
              </w:rPr>
              <w:t xml:space="preserve">EU – Serbia </w:t>
            </w:r>
            <w:proofErr w:type="spellStart"/>
            <w:r w:rsidRPr="009B5B67">
              <w:rPr>
                <w:rFonts w:cstheme="minorHAnsi"/>
                <w:b/>
                <w:szCs w:val="20"/>
                <w:lang w:val="en-GB"/>
              </w:rPr>
              <w:t>Talanoa</w:t>
            </w:r>
            <w:proofErr w:type="spellEnd"/>
            <w:r w:rsidRPr="009B5B67">
              <w:rPr>
                <w:rFonts w:cstheme="minorHAnsi"/>
                <w:b/>
                <w:szCs w:val="20"/>
                <w:lang w:val="en-GB"/>
              </w:rPr>
              <w:t xml:space="preserve"> high-level conference</w:t>
            </w:r>
            <w:r w:rsidR="00AA2702" w:rsidRPr="009B5B67">
              <w:rPr>
                <w:rStyle w:val="FootnoteReference"/>
                <w:rFonts w:cstheme="minorHAnsi"/>
                <w:b/>
                <w:szCs w:val="20"/>
                <w:lang w:val="en-GB"/>
              </w:rPr>
              <w:footnoteReference w:id="15"/>
            </w:r>
            <w:r w:rsidRPr="009B5B67">
              <w:rPr>
                <w:rFonts w:cstheme="minorHAnsi"/>
                <w:szCs w:val="20"/>
                <w:lang w:val="en-GB"/>
              </w:rPr>
              <w:t xml:space="preserve"> was organized, supporting the involvement of a broad range of public and private actors (including public and private companies) in development of NDC and combating climate change.</w:t>
            </w:r>
            <w:r w:rsidR="00132DA7" w:rsidRPr="009B5B67">
              <w:rPr>
                <w:rFonts w:cstheme="minorHAnsi"/>
                <w:szCs w:val="20"/>
                <w:lang w:val="en-GB"/>
              </w:rPr>
              <w:t xml:space="preserve"> </w:t>
            </w:r>
          </w:p>
          <w:p w14:paraId="1AC01E7E" w14:textId="7A282636" w:rsidR="00503AE8" w:rsidRPr="009B5B67" w:rsidRDefault="008D6050" w:rsidP="00121EDA">
            <w:pPr>
              <w:keepNext/>
              <w:keepLines/>
              <w:tabs>
                <w:tab w:val="left" w:pos="2402"/>
              </w:tabs>
              <w:rPr>
                <w:rFonts w:cstheme="minorHAnsi"/>
                <w:szCs w:val="20"/>
                <w:lang w:val="en-GB"/>
              </w:rPr>
            </w:pPr>
            <w:r w:rsidRPr="009B5B67">
              <w:rPr>
                <w:rFonts w:cstheme="minorHAnsi"/>
                <w:szCs w:val="20"/>
                <w:lang w:val="en-GB"/>
              </w:rPr>
              <w:t>In compliance with</w:t>
            </w:r>
            <w:r w:rsidR="00503AE8" w:rsidRPr="009B5B67">
              <w:rPr>
                <w:rFonts w:cstheme="minorHAnsi"/>
                <w:szCs w:val="20"/>
                <w:lang w:val="en-GB"/>
              </w:rPr>
              <w:t xml:space="preserve"> modalities of the global stocktake, the reduction commitments of the updated NDC of the Republic of Serbia will be considered.</w:t>
            </w:r>
          </w:p>
        </w:tc>
      </w:tr>
      <w:tr w:rsidR="00503AE8" w:rsidRPr="00080666" w14:paraId="76DCD3AE" w14:textId="77777777" w:rsidTr="006C0393">
        <w:trPr>
          <w:trHeight w:val="20"/>
        </w:trPr>
        <w:tc>
          <w:tcPr>
            <w:tcW w:w="3686" w:type="dxa"/>
          </w:tcPr>
          <w:p w14:paraId="606E639E" w14:textId="77777777" w:rsidR="00503AE8" w:rsidRPr="009B5B67" w:rsidRDefault="00503AE8" w:rsidP="006925C7">
            <w:pPr>
              <w:tabs>
                <w:tab w:val="left" w:pos="2401"/>
                <w:tab w:val="left" w:pos="2402"/>
              </w:tabs>
              <w:spacing w:after="0"/>
              <w:ind w:left="322" w:hanging="322"/>
              <w:rPr>
                <w:rFonts w:cstheme="minorHAnsi"/>
                <w:szCs w:val="20"/>
                <w:lang w:val="en-GB"/>
              </w:rPr>
            </w:pPr>
            <w:r w:rsidRPr="009B5B67">
              <w:rPr>
                <w:rFonts w:cstheme="minorHAnsi"/>
                <w:szCs w:val="20"/>
                <w:lang w:val="en-GB"/>
              </w:rPr>
              <w:t>(d) Each Party with a nationally determined contribution under Article 4 of the Paris Agreement that consists of adaptation action and/or economic diversification plans resulting in mitigation co-benefits consistent with Article 4, paragraph 7, of the Paris Agreement to submit information</w:t>
            </w:r>
            <w:r w:rsidRPr="009B5B67">
              <w:rPr>
                <w:rFonts w:cstheme="minorHAnsi"/>
                <w:spacing w:val="-3"/>
                <w:szCs w:val="20"/>
                <w:lang w:val="en-GB"/>
              </w:rPr>
              <w:t xml:space="preserve"> </w:t>
            </w:r>
            <w:r w:rsidRPr="009B5B67">
              <w:rPr>
                <w:rFonts w:cstheme="minorHAnsi"/>
                <w:szCs w:val="20"/>
                <w:lang w:val="en-GB"/>
              </w:rPr>
              <w:t>on:</w:t>
            </w:r>
          </w:p>
        </w:tc>
        <w:tc>
          <w:tcPr>
            <w:tcW w:w="6379" w:type="dxa"/>
            <w:shd w:val="clear" w:color="auto" w:fill="auto"/>
          </w:tcPr>
          <w:p w14:paraId="05F082F6" w14:textId="77777777" w:rsidR="00503AE8" w:rsidRPr="009B5B67" w:rsidRDefault="00503AE8" w:rsidP="00503AE8">
            <w:pPr>
              <w:tabs>
                <w:tab w:val="left" w:pos="2402"/>
              </w:tabs>
              <w:rPr>
                <w:szCs w:val="20"/>
                <w:lang w:val="en-GB"/>
              </w:rPr>
            </w:pPr>
          </w:p>
        </w:tc>
      </w:tr>
      <w:tr w:rsidR="00503AE8" w:rsidRPr="00080666" w14:paraId="482597F1" w14:textId="77777777" w:rsidTr="00132DA7">
        <w:trPr>
          <w:trHeight w:val="20"/>
        </w:trPr>
        <w:tc>
          <w:tcPr>
            <w:tcW w:w="3686" w:type="dxa"/>
            <w:tcBorders>
              <w:bottom w:val="single" w:sz="4" w:space="0" w:color="auto"/>
            </w:tcBorders>
          </w:tcPr>
          <w:p w14:paraId="10B1C2E2" w14:textId="77777777" w:rsidR="00503AE8" w:rsidRPr="009B5B67" w:rsidRDefault="00503AE8" w:rsidP="00FD3D9F">
            <w:pPr>
              <w:pStyle w:val="ListParagraph"/>
              <w:widowControl w:val="0"/>
              <w:numPr>
                <w:ilvl w:val="0"/>
                <w:numId w:val="6"/>
              </w:numPr>
              <w:autoSpaceDE w:val="0"/>
              <w:autoSpaceDN w:val="0"/>
              <w:ind w:left="602" w:hanging="283"/>
              <w:contextualSpacing w:val="0"/>
              <w:rPr>
                <w:rFonts w:cstheme="minorHAnsi"/>
                <w:szCs w:val="20"/>
                <w:lang w:val="en-GB"/>
              </w:rPr>
            </w:pPr>
            <w:r w:rsidRPr="009B5B67">
              <w:rPr>
                <w:rFonts w:cstheme="minorHAnsi"/>
                <w:szCs w:val="20"/>
                <w:lang w:val="en-GB"/>
              </w:rPr>
              <w:t>How the economic and social consequences of response measures have been considered in developing the nationally determined contribution</w:t>
            </w:r>
          </w:p>
        </w:tc>
        <w:tc>
          <w:tcPr>
            <w:tcW w:w="6379" w:type="dxa"/>
            <w:tcBorders>
              <w:bottom w:val="single" w:sz="4" w:space="0" w:color="auto"/>
            </w:tcBorders>
            <w:shd w:val="clear" w:color="auto" w:fill="auto"/>
          </w:tcPr>
          <w:p w14:paraId="0E8E1792" w14:textId="14F02CA2" w:rsidR="00503AE8" w:rsidRDefault="00503AE8" w:rsidP="00503AE8">
            <w:pPr>
              <w:rPr>
                <w:rFonts w:cstheme="minorHAnsi"/>
                <w:szCs w:val="20"/>
                <w:lang w:val="en-GB"/>
              </w:rPr>
            </w:pPr>
            <w:r w:rsidRPr="009B5B67">
              <w:rPr>
                <w:rFonts w:cstheme="minorHAnsi"/>
                <w:szCs w:val="20"/>
                <w:lang w:val="en-GB"/>
              </w:rPr>
              <w:t xml:space="preserve">The economic, </w:t>
            </w:r>
            <w:proofErr w:type="gramStart"/>
            <w:r w:rsidRPr="009B5B67">
              <w:rPr>
                <w:rFonts w:cstheme="minorHAnsi"/>
                <w:szCs w:val="20"/>
                <w:lang w:val="en-GB"/>
              </w:rPr>
              <w:t>environmental</w:t>
            </w:r>
            <w:proofErr w:type="gramEnd"/>
            <w:r w:rsidRPr="009B5B67">
              <w:rPr>
                <w:rFonts w:cstheme="minorHAnsi"/>
                <w:szCs w:val="20"/>
                <w:lang w:val="en-GB"/>
              </w:rPr>
              <w:t xml:space="preserve"> and social impacts of the measures were considered in tandem with the Strategic Environmental Assessment (SEA) process.</w:t>
            </w:r>
            <w:r w:rsidR="002B4331" w:rsidRPr="009B5B67">
              <w:rPr>
                <w:rStyle w:val="FootnoteReference"/>
                <w:rFonts w:cstheme="minorHAnsi"/>
                <w:szCs w:val="20"/>
                <w:lang w:val="en-GB"/>
              </w:rPr>
              <w:t xml:space="preserve"> </w:t>
            </w:r>
            <w:r w:rsidRPr="009B5B67">
              <w:rPr>
                <w:rFonts w:cstheme="minorHAnsi"/>
                <w:szCs w:val="20"/>
                <w:lang w:val="en-GB"/>
              </w:rPr>
              <w:t xml:space="preserve">The impact assessment focused on assessing climate change risk and prioritizing adaptation measures for the following identified three priority sectors: Agriculture, Forestry, </w:t>
            </w:r>
            <w:r w:rsidR="00132DA7" w:rsidRPr="009B5B67">
              <w:rPr>
                <w:rFonts w:cstheme="minorHAnsi"/>
                <w:szCs w:val="20"/>
                <w:lang w:val="en-GB"/>
              </w:rPr>
              <w:t>Water resources.</w:t>
            </w:r>
          </w:p>
          <w:p w14:paraId="69FDC96F" w14:textId="1D27CB58" w:rsidR="00623A55" w:rsidRPr="009B5B67" w:rsidRDefault="0018249C" w:rsidP="00132DA7">
            <w:pPr>
              <w:spacing w:after="0"/>
              <w:rPr>
                <w:szCs w:val="20"/>
                <w:lang w:val="en-GB"/>
              </w:rPr>
            </w:pPr>
            <w:r w:rsidRPr="001747FB">
              <w:rPr>
                <w:lang w:val="en-GB"/>
              </w:rPr>
              <w:lastRenderedPageBreak/>
              <w:t xml:space="preserve">Afforestation can be assumed as measure </w:t>
            </w:r>
            <w:r>
              <w:rPr>
                <w:lang w:val="en-GB"/>
              </w:rPr>
              <w:t xml:space="preserve">increasing employment of men mainly. Increasing energy costs for households which are expected with increased penetration of renewables in the energy mix, may negatively impact women, as </w:t>
            </w:r>
            <w:r w:rsidRPr="001747FB">
              <w:rPr>
                <w:lang w:val="en-GB"/>
              </w:rPr>
              <w:t>women have a particular role in using energy in the households (lighting, heating, cooking, cleaning, ironing)</w:t>
            </w:r>
            <w:r>
              <w:rPr>
                <w:lang w:val="en-GB"/>
              </w:rPr>
              <w:t xml:space="preserve"> and </w:t>
            </w:r>
            <w:r w:rsidR="00DF3D0B">
              <w:rPr>
                <w:lang w:val="en-GB"/>
              </w:rPr>
              <w:t>households</w:t>
            </w:r>
            <w:r>
              <w:rPr>
                <w:lang w:val="en-GB"/>
              </w:rPr>
              <w:t xml:space="preserve"> with low income. </w:t>
            </w:r>
            <w:r w:rsidRPr="001747FB">
              <w:rPr>
                <w:lang w:val="en-GB"/>
              </w:rPr>
              <w:t>At the same way, measures related to biomass use as household energy source, namely for cooking and heating (such as Promotion of proper use of wood) may positively affect women.</w:t>
            </w:r>
            <w:r>
              <w:rPr>
                <w:lang w:val="en-GB"/>
              </w:rPr>
              <w:t xml:space="preserve"> </w:t>
            </w:r>
            <w:r w:rsidR="00503AE8" w:rsidRPr="009B5B67">
              <w:rPr>
                <w:b/>
                <w:bCs/>
                <w:szCs w:val="20"/>
                <w:lang w:val="en-GB"/>
              </w:rPr>
              <w:t>Water resources</w:t>
            </w:r>
            <w:r w:rsidR="00503AE8" w:rsidRPr="009B5B67">
              <w:rPr>
                <w:szCs w:val="20"/>
                <w:lang w:val="en-GB"/>
              </w:rPr>
              <w:t>: Adaptation measures in hydrology and water resources will have a positive impact on the objectives of the strategic assessment by almost all parameters. The measure related to the construction of flooding barriers and additional measures in the basin may have a smaller local negat</w:t>
            </w:r>
            <w:r w:rsidR="00132DA7" w:rsidRPr="009B5B67">
              <w:rPr>
                <w:szCs w:val="20"/>
                <w:lang w:val="en-GB"/>
              </w:rPr>
              <w:t>ive impact on protection of arable</w:t>
            </w:r>
            <w:r w:rsidR="00503AE8" w:rsidRPr="009B5B67">
              <w:rPr>
                <w:szCs w:val="20"/>
                <w:lang w:val="en-GB"/>
              </w:rPr>
              <w:t xml:space="preserve"> land.</w:t>
            </w:r>
          </w:p>
        </w:tc>
      </w:tr>
      <w:tr w:rsidR="0012342F" w:rsidRPr="00080666" w14:paraId="497D1479" w14:textId="77777777" w:rsidTr="00132DA7">
        <w:trPr>
          <w:trHeight w:val="113"/>
        </w:trPr>
        <w:tc>
          <w:tcPr>
            <w:tcW w:w="3686" w:type="dxa"/>
            <w:tcBorders>
              <w:bottom w:val="single" w:sz="4" w:space="0" w:color="auto"/>
            </w:tcBorders>
          </w:tcPr>
          <w:p w14:paraId="6542D29D" w14:textId="77777777" w:rsidR="0012342F" w:rsidRPr="009B5B67" w:rsidRDefault="0012342F" w:rsidP="00FD3D9F">
            <w:pPr>
              <w:pStyle w:val="ListParagraph"/>
              <w:widowControl w:val="0"/>
              <w:numPr>
                <w:ilvl w:val="0"/>
                <w:numId w:val="6"/>
              </w:numPr>
              <w:autoSpaceDE w:val="0"/>
              <w:autoSpaceDN w:val="0"/>
              <w:ind w:left="602" w:hanging="283"/>
              <w:contextualSpacing w:val="0"/>
              <w:rPr>
                <w:rFonts w:cstheme="minorHAnsi"/>
                <w:szCs w:val="20"/>
                <w:lang w:val="en-GB"/>
              </w:rPr>
            </w:pPr>
            <w:r w:rsidRPr="009B5B67">
              <w:rPr>
                <w:rFonts w:cstheme="minorHAnsi"/>
                <w:szCs w:val="20"/>
                <w:lang w:val="en-GB"/>
              </w:rPr>
              <w:lastRenderedPageBreak/>
              <w:t xml:space="preserve">Specific projects, </w:t>
            </w:r>
            <w:proofErr w:type="gramStart"/>
            <w:r w:rsidRPr="009B5B67">
              <w:rPr>
                <w:rFonts w:cstheme="minorHAnsi"/>
                <w:szCs w:val="20"/>
                <w:lang w:val="en-GB"/>
              </w:rPr>
              <w:t>measures</w:t>
            </w:r>
            <w:proofErr w:type="gramEnd"/>
            <w:r w:rsidRPr="009B5B67">
              <w:rPr>
                <w:rFonts w:cstheme="minorHAnsi"/>
                <w:szCs w:val="20"/>
                <w:lang w:val="en-GB"/>
              </w:rPr>
              <w:t xml:space="preserve"> and activities to be implemented to contribute to mitigation co-benefits, including information on adaptation plans that also yield mitigation co-benefits, which may cover, but are not limited to, key sectors, such as energy, resources, water resources, coastal resources, human settlements and urban planning, agriculture and forestry</w:t>
            </w:r>
          </w:p>
        </w:tc>
        <w:tc>
          <w:tcPr>
            <w:tcW w:w="6379" w:type="dxa"/>
            <w:tcBorders>
              <w:bottom w:val="single" w:sz="4" w:space="0" w:color="auto"/>
            </w:tcBorders>
            <w:shd w:val="clear" w:color="auto" w:fill="auto"/>
          </w:tcPr>
          <w:p w14:paraId="72F5A5A7" w14:textId="61058B21" w:rsidR="000A78B0" w:rsidRPr="009B5B67" w:rsidRDefault="000A78B0" w:rsidP="000A78B0">
            <w:pPr>
              <w:tabs>
                <w:tab w:val="left" w:pos="1134"/>
                <w:tab w:val="left" w:pos="2402"/>
              </w:tabs>
              <w:rPr>
                <w:rFonts w:cstheme="minorHAnsi"/>
                <w:szCs w:val="20"/>
                <w:lang w:val="en-GB"/>
              </w:rPr>
            </w:pPr>
            <w:r w:rsidRPr="009B5B67">
              <w:rPr>
                <w:rFonts w:cstheme="minorHAnsi"/>
                <w:szCs w:val="20"/>
                <w:lang w:val="en-GB"/>
              </w:rPr>
              <w:t>Beside actions in Adaptation planning framework of the LCDS,</w:t>
            </w:r>
            <w:r w:rsidR="00230913" w:rsidRPr="009B5B67">
              <w:rPr>
                <w:rFonts w:cstheme="minorHAnsi"/>
                <w:szCs w:val="20"/>
                <w:lang w:val="en-GB"/>
              </w:rPr>
              <w:t xml:space="preserve"> that are presented in draft third National Communication,</w:t>
            </w:r>
            <w:r w:rsidRPr="009B5B67">
              <w:rPr>
                <w:rFonts w:cstheme="minorHAnsi"/>
                <w:szCs w:val="20"/>
                <w:lang w:val="en-GB"/>
              </w:rPr>
              <w:t xml:space="preserve"> actions will be further elaborated in the National Adaptation Plan (NAP) that is under development.</w:t>
            </w:r>
            <w:r w:rsidR="00B80C1A" w:rsidRPr="009B5B67">
              <w:rPr>
                <w:rFonts w:cstheme="minorHAnsi"/>
                <w:szCs w:val="20"/>
                <w:lang w:val="en-GB"/>
              </w:rPr>
              <w:t xml:space="preserve"> </w:t>
            </w:r>
          </w:p>
          <w:p w14:paraId="04A32436" w14:textId="77777777" w:rsidR="00265487" w:rsidRPr="009B5B67" w:rsidRDefault="00265487" w:rsidP="000A78B0">
            <w:pPr>
              <w:tabs>
                <w:tab w:val="left" w:pos="1134"/>
                <w:tab w:val="left" w:pos="2402"/>
              </w:tabs>
              <w:rPr>
                <w:rFonts w:cstheme="minorHAnsi"/>
                <w:szCs w:val="20"/>
                <w:lang w:val="en-GB"/>
              </w:rPr>
            </w:pPr>
          </w:p>
          <w:p w14:paraId="285B4FAB" w14:textId="77777777" w:rsidR="00B80C1A" w:rsidRPr="009B5B67" w:rsidRDefault="00B80C1A" w:rsidP="000A78B0">
            <w:pPr>
              <w:tabs>
                <w:tab w:val="left" w:pos="1134"/>
                <w:tab w:val="left" w:pos="2402"/>
              </w:tabs>
              <w:rPr>
                <w:rFonts w:cstheme="minorHAnsi"/>
                <w:szCs w:val="20"/>
                <w:lang w:val="en-GB"/>
              </w:rPr>
            </w:pPr>
          </w:p>
          <w:p w14:paraId="6BE4F44D" w14:textId="700E2E6E" w:rsidR="0012342F" w:rsidRPr="009B5B67" w:rsidRDefault="0012342F" w:rsidP="00132DA7">
            <w:pPr>
              <w:tabs>
                <w:tab w:val="left" w:pos="1134"/>
                <w:tab w:val="left" w:pos="2402"/>
              </w:tabs>
              <w:spacing w:after="0"/>
              <w:rPr>
                <w:rFonts w:cstheme="minorHAnsi"/>
                <w:szCs w:val="20"/>
                <w:lang w:val="en-GB"/>
              </w:rPr>
            </w:pPr>
          </w:p>
        </w:tc>
      </w:tr>
      <w:tr w:rsidR="00503AE8" w:rsidRPr="00080666" w14:paraId="334FF3D7" w14:textId="77777777" w:rsidTr="006C0393">
        <w:trPr>
          <w:trHeight w:val="20"/>
        </w:trPr>
        <w:tc>
          <w:tcPr>
            <w:tcW w:w="3686" w:type="dxa"/>
          </w:tcPr>
          <w:p w14:paraId="5FE6EDC1" w14:textId="77777777" w:rsidR="00503AE8" w:rsidRPr="009B5B67" w:rsidRDefault="00503AE8" w:rsidP="002B4331">
            <w:pPr>
              <w:pStyle w:val="ListParagraph"/>
              <w:keepLines/>
              <w:widowControl w:val="0"/>
              <w:numPr>
                <w:ilvl w:val="0"/>
                <w:numId w:val="6"/>
              </w:numPr>
              <w:autoSpaceDE w:val="0"/>
              <w:autoSpaceDN w:val="0"/>
              <w:ind w:left="602" w:hanging="283"/>
              <w:contextualSpacing w:val="0"/>
              <w:rPr>
                <w:rFonts w:cstheme="minorHAnsi"/>
                <w:szCs w:val="20"/>
                <w:lang w:val="en-GB"/>
              </w:rPr>
            </w:pPr>
            <w:r w:rsidRPr="009B5B67">
              <w:rPr>
                <w:rFonts w:cstheme="minorHAnsi"/>
                <w:szCs w:val="20"/>
                <w:lang w:val="en-GB"/>
              </w:rPr>
              <w:t xml:space="preserve">and economic diversification actions, which may cover, but are not limited to, sectors such as manufacturing and industry, energy and mining, transport and communication, construction, tourism, real estate, </w:t>
            </w:r>
            <w:proofErr w:type="gramStart"/>
            <w:r w:rsidRPr="009B5B67">
              <w:rPr>
                <w:rFonts w:cstheme="minorHAnsi"/>
                <w:szCs w:val="20"/>
                <w:lang w:val="en-GB"/>
              </w:rPr>
              <w:t>agriculture</w:t>
            </w:r>
            <w:proofErr w:type="gramEnd"/>
            <w:r w:rsidRPr="009B5B67">
              <w:rPr>
                <w:rFonts w:cstheme="minorHAnsi"/>
                <w:szCs w:val="20"/>
                <w:lang w:val="en-GB"/>
              </w:rPr>
              <w:t xml:space="preserve"> and fisheries.</w:t>
            </w:r>
          </w:p>
        </w:tc>
        <w:tc>
          <w:tcPr>
            <w:tcW w:w="6379" w:type="dxa"/>
            <w:shd w:val="clear" w:color="auto" w:fill="auto"/>
          </w:tcPr>
          <w:p w14:paraId="04EE5B0E" w14:textId="5E7E5211" w:rsidR="00230913" w:rsidRPr="009B5B67" w:rsidRDefault="00230913" w:rsidP="00230913">
            <w:pPr>
              <w:tabs>
                <w:tab w:val="left" w:pos="1134"/>
                <w:tab w:val="left" w:pos="2402"/>
              </w:tabs>
              <w:rPr>
                <w:rFonts w:cstheme="minorHAnsi"/>
                <w:szCs w:val="20"/>
                <w:lang w:val="en-GB"/>
              </w:rPr>
            </w:pPr>
            <w:r w:rsidRPr="009B5B67">
              <w:rPr>
                <w:rFonts w:cstheme="minorHAnsi"/>
                <w:szCs w:val="20"/>
                <w:lang w:val="en-GB"/>
              </w:rPr>
              <w:t>Beside actions</w:t>
            </w:r>
            <w:r w:rsidR="001F0779" w:rsidRPr="009B5B67">
              <w:rPr>
                <w:rFonts w:cstheme="minorHAnsi"/>
                <w:szCs w:val="20"/>
                <w:lang w:val="en-GB"/>
              </w:rPr>
              <w:t xml:space="preserve"> in sectors included in the </w:t>
            </w:r>
            <w:r w:rsidRPr="009B5B67">
              <w:rPr>
                <w:rFonts w:cstheme="minorHAnsi"/>
                <w:szCs w:val="20"/>
                <w:lang w:val="en-GB"/>
              </w:rPr>
              <w:t xml:space="preserve">Adaptation planning framework of the LCDS, that are presented in draft third National Communication, </w:t>
            </w:r>
            <w:r w:rsidR="001F0779" w:rsidRPr="009B5B67">
              <w:rPr>
                <w:rFonts w:cstheme="minorHAnsi"/>
                <w:szCs w:val="20"/>
                <w:lang w:val="en-GB"/>
              </w:rPr>
              <w:t>economic diversification actions in energy, transport</w:t>
            </w:r>
            <w:r w:rsidR="00926189" w:rsidRPr="009B5B67">
              <w:rPr>
                <w:rFonts w:cstheme="minorHAnsi"/>
                <w:szCs w:val="20"/>
                <w:lang w:val="en-GB"/>
              </w:rPr>
              <w:t xml:space="preserve"> and infrastructure</w:t>
            </w:r>
            <w:r w:rsidR="001F0779" w:rsidRPr="009B5B67">
              <w:rPr>
                <w:rFonts w:cstheme="minorHAnsi"/>
                <w:szCs w:val="20"/>
                <w:lang w:val="en-GB"/>
              </w:rPr>
              <w:t xml:space="preserve"> will</w:t>
            </w:r>
            <w:r w:rsidRPr="009B5B67">
              <w:rPr>
                <w:rFonts w:cstheme="minorHAnsi"/>
                <w:szCs w:val="20"/>
                <w:lang w:val="en-GB"/>
              </w:rPr>
              <w:t xml:space="preserve"> be further elaborated in the National Adaptation Plan (NAP) that is under development. </w:t>
            </w:r>
          </w:p>
          <w:p w14:paraId="0AF6A621" w14:textId="508008B6" w:rsidR="00503AE8" w:rsidRPr="009B5B67" w:rsidRDefault="00503AE8" w:rsidP="00230913">
            <w:pPr>
              <w:keepLines/>
              <w:widowControl w:val="0"/>
              <w:tabs>
                <w:tab w:val="left" w:pos="1134"/>
                <w:tab w:val="left" w:pos="2402"/>
              </w:tabs>
              <w:autoSpaceDE w:val="0"/>
              <w:autoSpaceDN w:val="0"/>
              <w:spacing w:after="0"/>
              <w:rPr>
                <w:rFonts w:cstheme="minorHAnsi"/>
                <w:szCs w:val="20"/>
                <w:lang w:val="en-GB"/>
              </w:rPr>
            </w:pPr>
          </w:p>
        </w:tc>
      </w:tr>
    </w:tbl>
    <w:p w14:paraId="1D4A4D42" w14:textId="77777777" w:rsidR="006925C7" w:rsidRPr="009B5B67" w:rsidRDefault="006925C7">
      <w:pPr>
        <w:rPr>
          <w:lang w:val="en-GB"/>
        </w:rPr>
      </w:pPr>
    </w:p>
    <w:tbl>
      <w:tblPr>
        <w:tblStyle w:val="TableGrid"/>
        <w:tblW w:w="10065" w:type="dxa"/>
        <w:tblInd w:w="-5" w:type="dxa"/>
        <w:tblCellMar>
          <w:top w:w="108" w:type="dxa"/>
          <w:bottom w:w="108" w:type="dxa"/>
        </w:tblCellMar>
        <w:tblLook w:val="04A0" w:firstRow="1" w:lastRow="0" w:firstColumn="1" w:lastColumn="0" w:noHBand="0" w:noVBand="1"/>
      </w:tblPr>
      <w:tblGrid>
        <w:gridCol w:w="3686"/>
        <w:gridCol w:w="6379"/>
      </w:tblGrid>
      <w:tr w:rsidR="00503AE8" w:rsidRPr="00080666" w14:paraId="1C8485F1" w14:textId="77777777" w:rsidTr="00345640">
        <w:trPr>
          <w:trHeight w:val="20"/>
          <w:tblHeader/>
        </w:trPr>
        <w:tc>
          <w:tcPr>
            <w:tcW w:w="10065" w:type="dxa"/>
            <w:gridSpan w:val="2"/>
            <w:shd w:val="clear" w:color="auto" w:fill="D9E2F3" w:themeFill="accent1" w:themeFillTint="33"/>
          </w:tcPr>
          <w:p w14:paraId="4682A1C3" w14:textId="77777777" w:rsidR="00503AE8" w:rsidRPr="009B5B67" w:rsidRDefault="00503AE8" w:rsidP="00132DA7">
            <w:pPr>
              <w:pStyle w:val="Heading6"/>
              <w:keepLines w:val="0"/>
              <w:spacing w:after="0"/>
              <w:rPr>
                <w:rFonts w:asciiTheme="minorHAnsi" w:hAnsiTheme="minorHAnsi" w:cstheme="minorHAnsi"/>
                <w:spacing w:val="-1"/>
                <w:lang w:val="en-GB"/>
              </w:rPr>
            </w:pPr>
            <w:bookmarkStart w:id="23" w:name="_Toc56411148"/>
            <w:r w:rsidRPr="009B5B67">
              <w:rPr>
                <w:lang w:val="en-GB"/>
              </w:rPr>
              <w:t>5. Assumptions and methodological approaches, including those for estimating and accounting for anthropogenic greenhouse gas emissions and, as appropriate, removals</w:t>
            </w:r>
            <w:bookmarkEnd w:id="23"/>
          </w:p>
        </w:tc>
      </w:tr>
      <w:tr w:rsidR="00503AE8" w:rsidRPr="00080666" w14:paraId="2FEEC741" w14:textId="77777777" w:rsidTr="006C0393">
        <w:trPr>
          <w:trHeight w:val="20"/>
        </w:trPr>
        <w:tc>
          <w:tcPr>
            <w:tcW w:w="3686" w:type="dxa"/>
          </w:tcPr>
          <w:p w14:paraId="231328B2" w14:textId="77777777" w:rsidR="00503AE8" w:rsidRPr="009B5B67" w:rsidRDefault="00503AE8" w:rsidP="00132DA7">
            <w:pPr>
              <w:tabs>
                <w:tab w:val="left" w:pos="2401"/>
                <w:tab w:val="left" w:pos="2402"/>
              </w:tabs>
              <w:spacing w:after="0"/>
              <w:ind w:left="319" w:hanging="319"/>
              <w:rPr>
                <w:rFonts w:cstheme="minorHAnsi"/>
                <w:szCs w:val="20"/>
                <w:lang w:val="en-GB"/>
              </w:rPr>
            </w:pPr>
            <w:r w:rsidRPr="009B5B67">
              <w:rPr>
                <w:rFonts w:cstheme="minorHAnsi"/>
                <w:szCs w:val="20"/>
                <w:lang w:val="en-GB"/>
              </w:rPr>
              <w:t>(a)</w:t>
            </w:r>
            <w:r w:rsidRPr="009B5B67">
              <w:rPr>
                <w:rFonts w:cstheme="minorHAnsi"/>
                <w:szCs w:val="20"/>
                <w:lang w:val="en-GB"/>
              </w:rPr>
              <w:tab/>
              <w:t xml:space="preserve">Assumptions and methodological approaches used for accounting for anthropogenic greenhouse gas emissions and removals corresponding to the Party’s </w:t>
            </w:r>
            <w:r w:rsidRPr="009B5B67">
              <w:rPr>
                <w:rFonts w:cstheme="minorHAnsi"/>
                <w:szCs w:val="20"/>
                <w:lang w:val="en-GB"/>
              </w:rPr>
              <w:lastRenderedPageBreak/>
              <w:t>nationally determined contribution, consistent with decision 1/CP.21, paragraph 31, and accounting guidance adopted by the CMA;</w:t>
            </w:r>
          </w:p>
        </w:tc>
        <w:tc>
          <w:tcPr>
            <w:tcW w:w="6379" w:type="dxa"/>
          </w:tcPr>
          <w:p w14:paraId="7D6F3FC8" w14:textId="42F1DEE2" w:rsidR="00503AE8" w:rsidRPr="009B5B67" w:rsidRDefault="009C5EF8" w:rsidP="00503AE8">
            <w:pPr>
              <w:tabs>
                <w:tab w:val="left" w:pos="2402"/>
              </w:tabs>
              <w:rPr>
                <w:rFonts w:cs="Arial"/>
                <w:szCs w:val="20"/>
                <w:lang w:val="en-GB"/>
              </w:rPr>
            </w:pPr>
            <w:r w:rsidRPr="009B5B67">
              <w:rPr>
                <w:rFonts w:cs="Arial"/>
                <w:szCs w:val="20"/>
                <w:lang w:val="en-GB"/>
              </w:rPr>
              <w:lastRenderedPageBreak/>
              <w:t xml:space="preserve">Information </w:t>
            </w:r>
            <w:proofErr w:type="gramStart"/>
            <w:r w:rsidRPr="009B5B67">
              <w:rPr>
                <w:rFonts w:cs="Arial"/>
                <w:szCs w:val="20"/>
                <w:lang w:val="en-GB"/>
              </w:rPr>
              <w:t>are</w:t>
            </w:r>
            <w:proofErr w:type="gramEnd"/>
            <w:r w:rsidRPr="009B5B67">
              <w:rPr>
                <w:rFonts w:cs="Arial"/>
                <w:szCs w:val="20"/>
                <w:lang w:val="en-GB"/>
              </w:rPr>
              <w:t xml:space="preserve"> available in the 2BUR and in case of changes, updated information will be presented within the Biennial Transparency Report.</w:t>
            </w:r>
          </w:p>
        </w:tc>
      </w:tr>
      <w:tr w:rsidR="0012342F" w:rsidRPr="00080666" w14:paraId="2CCB28AC" w14:textId="77777777" w:rsidTr="006C0393">
        <w:trPr>
          <w:trHeight w:val="791"/>
        </w:trPr>
        <w:tc>
          <w:tcPr>
            <w:tcW w:w="3686" w:type="dxa"/>
            <w:vMerge w:val="restart"/>
          </w:tcPr>
          <w:p w14:paraId="765EDC28" w14:textId="77777777" w:rsidR="0012342F" w:rsidRPr="009B5B67" w:rsidRDefault="0012342F" w:rsidP="002B4331">
            <w:pPr>
              <w:keepLines/>
              <w:widowControl w:val="0"/>
              <w:tabs>
                <w:tab w:val="left" w:pos="2401"/>
                <w:tab w:val="left" w:pos="2402"/>
              </w:tabs>
              <w:ind w:left="319" w:hanging="319"/>
              <w:rPr>
                <w:rFonts w:cstheme="minorHAnsi"/>
                <w:szCs w:val="20"/>
                <w:lang w:val="en-GB"/>
              </w:rPr>
            </w:pPr>
            <w:r w:rsidRPr="009B5B67">
              <w:rPr>
                <w:rFonts w:cstheme="minorHAnsi"/>
                <w:szCs w:val="20"/>
                <w:lang w:val="en-GB"/>
              </w:rPr>
              <w:t>(b)</w:t>
            </w:r>
            <w:r w:rsidRPr="009B5B67">
              <w:rPr>
                <w:rFonts w:cstheme="minorHAnsi"/>
                <w:szCs w:val="20"/>
                <w:lang w:val="en-GB"/>
              </w:rPr>
              <w:tab/>
              <w:t>Assumptions and methodological approaches used for accounting for the implementation of policies and measures or strategies in the nationally determined contribution;</w:t>
            </w:r>
          </w:p>
        </w:tc>
        <w:tc>
          <w:tcPr>
            <w:tcW w:w="6379" w:type="dxa"/>
          </w:tcPr>
          <w:p w14:paraId="15425532" w14:textId="007DE54A" w:rsidR="0012342F" w:rsidRPr="009B5B67" w:rsidRDefault="0012342F" w:rsidP="00132DA7">
            <w:pPr>
              <w:keepLines/>
              <w:widowControl w:val="0"/>
              <w:tabs>
                <w:tab w:val="left" w:pos="2402"/>
              </w:tabs>
              <w:spacing w:after="0"/>
              <w:rPr>
                <w:szCs w:val="20"/>
                <w:highlight w:val="cyan"/>
                <w:lang w:val="en-GB"/>
              </w:rPr>
            </w:pPr>
          </w:p>
        </w:tc>
      </w:tr>
      <w:tr w:rsidR="00CC1ED3" w:rsidRPr="00080666" w14:paraId="31B6FF7B" w14:textId="77777777" w:rsidTr="006C0393">
        <w:trPr>
          <w:trHeight w:val="20"/>
        </w:trPr>
        <w:tc>
          <w:tcPr>
            <w:tcW w:w="3686" w:type="dxa"/>
            <w:vMerge/>
          </w:tcPr>
          <w:p w14:paraId="08E4093B" w14:textId="77777777" w:rsidR="00CC1ED3" w:rsidRPr="009B5B67" w:rsidRDefault="00CC1ED3" w:rsidP="00503AE8">
            <w:pPr>
              <w:tabs>
                <w:tab w:val="left" w:pos="2401"/>
                <w:tab w:val="left" w:pos="2402"/>
              </w:tabs>
              <w:ind w:left="319" w:hanging="319"/>
              <w:rPr>
                <w:rFonts w:cstheme="minorHAnsi"/>
                <w:szCs w:val="20"/>
                <w:lang w:val="en-GB"/>
              </w:rPr>
            </w:pPr>
          </w:p>
        </w:tc>
        <w:tc>
          <w:tcPr>
            <w:tcW w:w="6379" w:type="dxa"/>
          </w:tcPr>
          <w:p w14:paraId="5449E3DA" w14:textId="31A869FD" w:rsidR="00CC1ED3" w:rsidRPr="009B5B67" w:rsidRDefault="009D7E94" w:rsidP="00345640">
            <w:pPr>
              <w:tabs>
                <w:tab w:val="left" w:pos="2402"/>
              </w:tabs>
              <w:spacing w:after="0"/>
              <w:rPr>
                <w:rFonts w:cstheme="minorHAnsi"/>
                <w:szCs w:val="20"/>
                <w:lang w:val="en-GB"/>
              </w:rPr>
            </w:pPr>
            <w:r w:rsidRPr="009B5B67">
              <w:rPr>
                <w:rFonts w:cs="Arial"/>
                <w:szCs w:val="20"/>
                <w:lang w:val="en-GB"/>
              </w:rPr>
              <w:t xml:space="preserve">Information </w:t>
            </w:r>
            <w:proofErr w:type="gramStart"/>
            <w:r w:rsidRPr="009B5B67">
              <w:rPr>
                <w:rFonts w:cs="Arial"/>
                <w:szCs w:val="20"/>
                <w:lang w:val="en-GB"/>
              </w:rPr>
              <w:t>are</w:t>
            </w:r>
            <w:proofErr w:type="gramEnd"/>
            <w:r w:rsidRPr="009B5B67">
              <w:rPr>
                <w:rFonts w:cs="Arial"/>
                <w:szCs w:val="20"/>
                <w:lang w:val="en-GB"/>
              </w:rPr>
              <w:t xml:space="preserve"> available in the 2BUR and in case of changes, updated information will be presented within the Biennial Transparency Report</w:t>
            </w:r>
          </w:p>
        </w:tc>
      </w:tr>
      <w:tr w:rsidR="00503AE8" w:rsidRPr="00080666" w14:paraId="02C8991B" w14:textId="77777777" w:rsidTr="006C0393">
        <w:trPr>
          <w:trHeight w:val="20"/>
        </w:trPr>
        <w:tc>
          <w:tcPr>
            <w:tcW w:w="3686" w:type="dxa"/>
          </w:tcPr>
          <w:p w14:paraId="5473F0FE" w14:textId="77777777" w:rsidR="00503AE8" w:rsidRPr="009B5B67" w:rsidRDefault="00503AE8" w:rsidP="00345640">
            <w:pPr>
              <w:tabs>
                <w:tab w:val="left" w:pos="2401"/>
                <w:tab w:val="left" w:pos="2402"/>
              </w:tabs>
              <w:spacing w:after="0"/>
              <w:ind w:left="322" w:hanging="322"/>
              <w:rPr>
                <w:rFonts w:cstheme="minorHAnsi"/>
                <w:szCs w:val="20"/>
                <w:lang w:val="en-GB"/>
              </w:rPr>
            </w:pPr>
            <w:r w:rsidRPr="009B5B67">
              <w:rPr>
                <w:rFonts w:cstheme="minorHAnsi"/>
                <w:szCs w:val="20"/>
                <w:lang w:val="en-GB"/>
              </w:rPr>
              <w:t>(c)</w:t>
            </w:r>
            <w:r w:rsidRPr="009B5B67">
              <w:rPr>
                <w:rFonts w:cstheme="minorHAnsi"/>
                <w:szCs w:val="20"/>
                <w:lang w:val="en-GB"/>
              </w:rPr>
              <w:tab/>
              <w:t xml:space="preserve">If applicable, information on how the Party will </w:t>
            </w:r>
            <w:proofErr w:type="gramStart"/>
            <w:r w:rsidRPr="009B5B67">
              <w:rPr>
                <w:rFonts w:cstheme="minorHAnsi"/>
                <w:szCs w:val="20"/>
                <w:lang w:val="en-GB"/>
              </w:rPr>
              <w:t>take into account</w:t>
            </w:r>
            <w:proofErr w:type="gramEnd"/>
            <w:r w:rsidRPr="009B5B67">
              <w:rPr>
                <w:rFonts w:cstheme="minorHAnsi"/>
                <w:szCs w:val="20"/>
                <w:lang w:val="en-GB"/>
              </w:rPr>
              <w:t xml:space="preserve"> existing methods and guidance under the Convention to account for anthropogenic emissions and removals, in accordance with Article 4, paragraph 14, of the Paris Agreement, as appropriate;</w:t>
            </w:r>
          </w:p>
        </w:tc>
        <w:tc>
          <w:tcPr>
            <w:tcW w:w="6379" w:type="dxa"/>
          </w:tcPr>
          <w:p w14:paraId="7EF11BE8" w14:textId="3B926478" w:rsidR="00503AE8" w:rsidRPr="009B5B67" w:rsidRDefault="00A5306E" w:rsidP="00503AE8">
            <w:pPr>
              <w:tabs>
                <w:tab w:val="left" w:pos="2402"/>
              </w:tabs>
              <w:rPr>
                <w:szCs w:val="20"/>
                <w:lang w:val="en-GB"/>
              </w:rPr>
            </w:pPr>
            <w:r w:rsidRPr="009B5B67">
              <w:rPr>
                <w:rFonts w:cs="Arial"/>
                <w:szCs w:val="20"/>
                <w:lang w:val="en-GB"/>
              </w:rPr>
              <w:t xml:space="preserve">Information </w:t>
            </w:r>
            <w:proofErr w:type="gramStart"/>
            <w:r w:rsidRPr="009B5B67">
              <w:rPr>
                <w:rFonts w:cs="Arial"/>
                <w:szCs w:val="20"/>
                <w:lang w:val="en-GB"/>
              </w:rPr>
              <w:t>are</w:t>
            </w:r>
            <w:proofErr w:type="gramEnd"/>
            <w:r w:rsidRPr="009B5B67">
              <w:rPr>
                <w:rFonts w:cs="Arial"/>
                <w:szCs w:val="20"/>
                <w:lang w:val="en-GB"/>
              </w:rPr>
              <w:t xml:space="preserve"> available in the 2BUR and in case of changes, updated information will be presented within the Biennial Transparency</w:t>
            </w:r>
          </w:p>
        </w:tc>
      </w:tr>
      <w:tr w:rsidR="00503AE8" w:rsidRPr="00080666" w14:paraId="6215CC4F" w14:textId="77777777" w:rsidTr="006C0393">
        <w:trPr>
          <w:trHeight w:val="20"/>
        </w:trPr>
        <w:tc>
          <w:tcPr>
            <w:tcW w:w="3686" w:type="dxa"/>
          </w:tcPr>
          <w:p w14:paraId="64A6642B" w14:textId="77777777" w:rsidR="00503AE8" w:rsidRPr="009B5B67" w:rsidRDefault="00503AE8" w:rsidP="00503AE8">
            <w:pPr>
              <w:tabs>
                <w:tab w:val="left" w:pos="2401"/>
                <w:tab w:val="left" w:pos="2402"/>
              </w:tabs>
              <w:ind w:left="322" w:hanging="322"/>
              <w:rPr>
                <w:rFonts w:cstheme="minorHAnsi"/>
                <w:szCs w:val="20"/>
                <w:lang w:val="en-GB"/>
              </w:rPr>
            </w:pPr>
            <w:r w:rsidRPr="009B5B67">
              <w:rPr>
                <w:rFonts w:cstheme="minorHAnsi"/>
                <w:szCs w:val="20"/>
                <w:lang w:val="en-GB"/>
              </w:rPr>
              <w:t>(d)</w:t>
            </w:r>
            <w:r w:rsidRPr="009B5B67">
              <w:rPr>
                <w:rFonts w:cstheme="minorHAnsi"/>
                <w:szCs w:val="20"/>
                <w:lang w:val="en-GB"/>
              </w:rPr>
              <w:tab/>
              <w:t>IPCC methodologies and metrics used for estimating anthropogenic greenhouse gas emissions and removals;</w:t>
            </w:r>
          </w:p>
        </w:tc>
        <w:tc>
          <w:tcPr>
            <w:tcW w:w="6379" w:type="dxa"/>
          </w:tcPr>
          <w:p w14:paraId="5638CE5E" w14:textId="542D372A" w:rsidR="00A5306E" w:rsidRPr="009B5B67" w:rsidRDefault="00A5306E" w:rsidP="00E31535">
            <w:pPr>
              <w:spacing w:after="0"/>
              <w:rPr>
                <w:rFonts w:cs="Arial"/>
                <w:szCs w:val="20"/>
                <w:lang w:val="en-GB"/>
              </w:rPr>
            </w:pPr>
            <w:r w:rsidRPr="009B5B67">
              <w:rPr>
                <w:rFonts w:cs="Arial"/>
                <w:szCs w:val="20"/>
                <w:lang w:val="en-GB"/>
              </w:rPr>
              <w:t xml:space="preserve">Information </w:t>
            </w:r>
            <w:proofErr w:type="gramStart"/>
            <w:r w:rsidRPr="009B5B67">
              <w:rPr>
                <w:rFonts w:cs="Arial"/>
                <w:szCs w:val="20"/>
                <w:lang w:val="en-GB"/>
              </w:rPr>
              <w:t>are</w:t>
            </w:r>
            <w:proofErr w:type="gramEnd"/>
            <w:r w:rsidRPr="009B5B67">
              <w:rPr>
                <w:rFonts w:cs="Arial"/>
                <w:szCs w:val="20"/>
                <w:lang w:val="en-GB"/>
              </w:rPr>
              <w:t xml:space="preserve"> available in the 2BUR and in case of changes, updated information will be presented within the </w:t>
            </w:r>
            <w:r w:rsidR="005F506B" w:rsidRPr="009B5B67">
              <w:rPr>
                <w:rFonts w:cs="Arial"/>
                <w:szCs w:val="20"/>
                <w:lang w:val="en-GB"/>
              </w:rPr>
              <w:t xml:space="preserve">Biennial Transparency. </w:t>
            </w:r>
          </w:p>
          <w:p w14:paraId="2C262F57" w14:textId="77777777" w:rsidR="00F26112" w:rsidRPr="009B5B67" w:rsidRDefault="00F26112" w:rsidP="00F26112">
            <w:pPr>
              <w:spacing w:before="120" w:after="0"/>
              <w:rPr>
                <w:szCs w:val="20"/>
                <w:lang w:val="en-GB"/>
              </w:rPr>
            </w:pPr>
            <w:r w:rsidRPr="009B5B67">
              <w:rPr>
                <w:szCs w:val="20"/>
                <w:lang w:val="en-GB"/>
              </w:rPr>
              <w:t>Current GHG inventories are compliant with Decision 24/CP.19, including 2006 IPCC Guidelines for National Greenhouse Gas, IPCC 2013 KP Supplement) and the 2013 Supplement to the 2006 IPCC Guidelines for the National Greenhouse Gas Inventories: Wetlands (IPCC 2013 Wetlands Supplement)</w:t>
            </w:r>
          </w:p>
          <w:p w14:paraId="0B03CEFD" w14:textId="77777777" w:rsidR="005F506B" w:rsidRPr="009B5B67" w:rsidRDefault="00503AE8" w:rsidP="005F506B">
            <w:pPr>
              <w:spacing w:before="120" w:after="0"/>
              <w:rPr>
                <w:szCs w:val="20"/>
                <w:lang w:val="en-GB"/>
              </w:rPr>
            </w:pPr>
            <w:r w:rsidRPr="009B5B67">
              <w:rPr>
                <w:szCs w:val="20"/>
                <w:lang w:val="en-GB"/>
              </w:rPr>
              <w:t xml:space="preserve">The metrics used is the Global Warming Potentials (GWP) of a 100-year time horizon </w:t>
            </w:r>
            <w:r w:rsidR="00E31535" w:rsidRPr="009B5B67">
              <w:rPr>
                <w:szCs w:val="20"/>
                <w:lang w:val="en-GB"/>
              </w:rPr>
              <w:t>published</w:t>
            </w:r>
            <w:r w:rsidRPr="009B5B67">
              <w:rPr>
                <w:szCs w:val="20"/>
                <w:lang w:val="en-GB"/>
              </w:rPr>
              <w:t xml:space="preserve"> in the IPCC Fourth Assessment Report (AR4).</w:t>
            </w:r>
            <w:r w:rsidR="00CC1ED3" w:rsidRPr="009B5B67">
              <w:rPr>
                <w:szCs w:val="20"/>
                <w:lang w:val="en-GB"/>
              </w:rPr>
              <w:t xml:space="preserve"> </w:t>
            </w:r>
            <w:r w:rsidR="005F506B" w:rsidRPr="009B5B67">
              <w:rPr>
                <w:szCs w:val="20"/>
                <w:lang w:val="en-GB"/>
              </w:rPr>
              <w:t xml:space="preserve"> </w:t>
            </w:r>
          </w:p>
          <w:p w14:paraId="0FDCC2E9" w14:textId="49102261" w:rsidR="005F506B" w:rsidRPr="009B5B67" w:rsidRDefault="005F506B" w:rsidP="005F506B">
            <w:pPr>
              <w:spacing w:before="120" w:after="0"/>
              <w:rPr>
                <w:szCs w:val="20"/>
                <w:lang w:val="en-GB"/>
              </w:rPr>
            </w:pPr>
            <w:r w:rsidRPr="009B5B67">
              <w:rPr>
                <w:szCs w:val="20"/>
                <w:lang w:val="en-GB"/>
              </w:rPr>
              <w:t>These methodologies are subject to change depending on the progress of future international negotiations on estimating and accounting rules.</w:t>
            </w:r>
          </w:p>
          <w:p w14:paraId="4A6D6703" w14:textId="3E315359" w:rsidR="00503AE8" w:rsidRPr="009B5B67" w:rsidRDefault="00503AE8" w:rsidP="00A5306E">
            <w:pPr>
              <w:spacing w:before="120" w:after="0"/>
              <w:rPr>
                <w:szCs w:val="20"/>
                <w:lang w:val="en-GB"/>
              </w:rPr>
            </w:pPr>
          </w:p>
        </w:tc>
      </w:tr>
      <w:tr w:rsidR="00503AE8" w:rsidRPr="00080666" w14:paraId="40B7EE51" w14:textId="77777777" w:rsidTr="006C0393">
        <w:trPr>
          <w:trHeight w:val="20"/>
        </w:trPr>
        <w:tc>
          <w:tcPr>
            <w:tcW w:w="3686" w:type="dxa"/>
          </w:tcPr>
          <w:p w14:paraId="794BD3F4" w14:textId="77777777" w:rsidR="00503AE8" w:rsidRPr="009B5B67" w:rsidRDefault="00503AE8" w:rsidP="00345640">
            <w:pPr>
              <w:keepLines/>
              <w:tabs>
                <w:tab w:val="left" w:pos="2401"/>
                <w:tab w:val="left" w:pos="2402"/>
              </w:tabs>
              <w:spacing w:after="0"/>
              <w:ind w:left="322" w:hanging="322"/>
              <w:jc w:val="left"/>
              <w:rPr>
                <w:rFonts w:cstheme="minorHAnsi"/>
                <w:szCs w:val="20"/>
                <w:lang w:val="en-GB"/>
              </w:rPr>
            </w:pPr>
            <w:r w:rsidRPr="009B5B67">
              <w:rPr>
                <w:rFonts w:cstheme="minorHAnsi"/>
                <w:szCs w:val="20"/>
                <w:lang w:val="en-GB"/>
              </w:rPr>
              <w:t>(e)</w:t>
            </w:r>
            <w:r w:rsidRPr="009B5B67">
              <w:rPr>
                <w:rFonts w:cstheme="minorHAnsi"/>
                <w:szCs w:val="20"/>
                <w:lang w:val="en-GB"/>
              </w:rPr>
              <w:tab/>
              <w:t>Sector-, category- or activity-specific assumptions, methodologies and approaches consistent with IPCC guidance, as appropriate, including, as applicable:</w:t>
            </w:r>
          </w:p>
        </w:tc>
        <w:tc>
          <w:tcPr>
            <w:tcW w:w="6379" w:type="dxa"/>
          </w:tcPr>
          <w:p w14:paraId="7A8AFA79" w14:textId="6B10E5FB" w:rsidR="00503AE8" w:rsidRPr="009B5B67" w:rsidRDefault="00503AE8" w:rsidP="00345640">
            <w:pPr>
              <w:keepLines/>
              <w:tabs>
                <w:tab w:val="left" w:pos="2402"/>
              </w:tabs>
              <w:rPr>
                <w:rFonts w:cstheme="minorHAnsi"/>
                <w:szCs w:val="20"/>
                <w:lang w:val="en-GB"/>
              </w:rPr>
            </w:pPr>
          </w:p>
        </w:tc>
      </w:tr>
      <w:tr w:rsidR="00503AE8" w:rsidRPr="00080666" w14:paraId="67560279" w14:textId="77777777" w:rsidTr="006C0393">
        <w:trPr>
          <w:trHeight w:val="20"/>
        </w:trPr>
        <w:tc>
          <w:tcPr>
            <w:tcW w:w="3686" w:type="dxa"/>
          </w:tcPr>
          <w:p w14:paraId="6B3E64BA" w14:textId="77777777" w:rsidR="00503AE8" w:rsidRPr="009B5B67" w:rsidRDefault="00503AE8" w:rsidP="00345640">
            <w:pPr>
              <w:pStyle w:val="ListParagraph"/>
              <w:widowControl w:val="0"/>
              <w:numPr>
                <w:ilvl w:val="0"/>
                <w:numId w:val="7"/>
              </w:numPr>
              <w:autoSpaceDE w:val="0"/>
              <w:autoSpaceDN w:val="0"/>
              <w:spacing w:after="0"/>
              <w:ind w:left="596" w:hanging="283"/>
              <w:contextualSpacing w:val="0"/>
              <w:jc w:val="left"/>
              <w:rPr>
                <w:rFonts w:cstheme="minorHAnsi"/>
                <w:szCs w:val="20"/>
                <w:lang w:val="en-GB"/>
              </w:rPr>
            </w:pPr>
            <w:r w:rsidRPr="009B5B67">
              <w:rPr>
                <w:rFonts w:cstheme="minorHAnsi"/>
                <w:szCs w:val="20"/>
                <w:lang w:val="en-GB"/>
              </w:rPr>
              <w:t xml:space="preserve">Approach to addressing emissions and subsequent removals from natural </w:t>
            </w:r>
            <w:r w:rsidRPr="009B5B67">
              <w:rPr>
                <w:rFonts w:cstheme="minorHAnsi"/>
                <w:szCs w:val="20"/>
                <w:lang w:val="en-GB"/>
              </w:rPr>
              <w:lastRenderedPageBreak/>
              <w:t>disturbances on managed lands;</w:t>
            </w:r>
          </w:p>
        </w:tc>
        <w:tc>
          <w:tcPr>
            <w:tcW w:w="6379" w:type="dxa"/>
          </w:tcPr>
          <w:p w14:paraId="53AB2277" w14:textId="30C2B79E" w:rsidR="00503AE8" w:rsidRPr="009B5B67" w:rsidRDefault="00503AE8" w:rsidP="00754390">
            <w:pPr>
              <w:tabs>
                <w:tab w:val="left" w:pos="1134"/>
              </w:tabs>
              <w:spacing w:after="0"/>
              <w:rPr>
                <w:szCs w:val="20"/>
                <w:lang w:val="en-GB"/>
              </w:rPr>
            </w:pPr>
            <w:r w:rsidRPr="009B5B67">
              <w:rPr>
                <w:szCs w:val="20"/>
                <w:lang w:val="en-GB"/>
              </w:rPr>
              <w:lastRenderedPageBreak/>
              <w:t xml:space="preserve">The approach to addressing emissions and subsequent removals from natural disturbances on managed lands presented in the 2006 IPCC </w:t>
            </w:r>
            <w:r w:rsidRPr="009B5B67">
              <w:rPr>
                <w:szCs w:val="20"/>
                <w:lang w:val="en-GB"/>
              </w:rPr>
              <w:lastRenderedPageBreak/>
              <w:t>Guidelines, Volume 4, Chapter 2: Generic Methodologies Applicable to Multiple Land-Use Categories, are used</w:t>
            </w:r>
            <w:r w:rsidR="00B52800" w:rsidRPr="009B5B67">
              <w:rPr>
                <w:szCs w:val="20"/>
                <w:lang w:val="en-GB"/>
              </w:rPr>
              <w:t>.</w:t>
            </w:r>
          </w:p>
        </w:tc>
      </w:tr>
      <w:tr w:rsidR="00503AE8" w:rsidRPr="00080666" w14:paraId="418BE71C" w14:textId="77777777" w:rsidTr="006C0393">
        <w:trPr>
          <w:trHeight w:val="20"/>
        </w:trPr>
        <w:tc>
          <w:tcPr>
            <w:tcW w:w="3686" w:type="dxa"/>
          </w:tcPr>
          <w:p w14:paraId="69A9D497" w14:textId="77777777" w:rsidR="00503AE8" w:rsidRPr="009B5B67" w:rsidRDefault="00503AE8" w:rsidP="00345640">
            <w:pPr>
              <w:pStyle w:val="ListParagraph"/>
              <w:widowControl w:val="0"/>
              <w:numPr>
                <w:ilvl w:val="0"/>
                <w:numId w:val="7"/>
              </w:numPr>
              <w:autoSpaceDE w:val="0"/>
              <w:autoSpaceDN w:val="0"/>
              <w:spacing w:after="0"/>
              <w:ind w:left="596" w:hanging="283"/>
              <w:contextualSpacing w:val="0"/>
              <w:jc w:val="left"/>
              <w:rPr>
                <w:rFonts w:cstheme="minorHAnsi"/>
                <w:szCs w:val="20"/>
                <w:lang w:val="en-GB"/>
              </w:rPr>
            </w:pPr>
            <w:r w:rsidRPr="009B5B67">
              <w:rPr>
                <w:rFonts w:cstheme="minorHAnsi"/>
                <w:szCs w:val="20"/>
                <w:lang w:val="en-GB"/>
              </w:rPr>
              <w:lastRenderedPageBreak/>
              <w:t>Approach used to account for emissions and removals from harvested wood products;</w:t>
            </w:r>
          </w:p>
        </w:tc>
        <w:tc>
          <w:tcPr>
            <w:tcW w:w="6379" w:type="dxa"/>
          </w:tcPr>
          <w:p w14:paraId="334D8FA1" w14:textId="77777777" w:rsidR="00503AE8" w:rsidRPr="009B5B67" w:rsidRDefault="00503AE8" w:rsidP="00345640">
            <w:pPr>
              <w:tabs>
                <w:tab w:val="left" w:pos="1134"/>
              </w:tabs>
              <w:spacing w:after="0"/>
              <w:rPr>
                <w:szCs w:val="20"/>
                <w:lang w:val="en-GB"/>
              </w:rPr>
            </w:pPr>
            <w:r w:rsidRPr="009B5B67">
              <w:rPr>
                <w:szCs w:val="20"/>
                <w:lang w:val="en-GB"/>
              </w:rPr>
              <w:t xml:space="preserve">The approach used to account for emissions and removals from harvested wood products presented in the 2006 IPCC Guidelines, Volume 4, Chapter 12, Harvested Wood Products, are used. </w:t>
            </w:r>
          </w:p>
        </w:tc>
      </w:tr>
      <w:tr w:rsidR="00503AE8" w:rsidRPr="009B5B67" w14:paraId="69D07D69" w14:textId="77777777" w:rsidTr="006C0393">
        <w:trPr>
          <w:trHeight w:val="20"/>
        </w:trPr>
        <w:tc>
          <w:tcPr>
            <w:tcW w:w="3686" w:type="dxa"/>
          </w:tcPr>
          <w:p w14:paraId="2F2DEBEC" w14:textId="77777777" w:rsidR="00503AE8" w:rsidRPr="009B5B67" w:rsidRDefault="00503AE8" w:rsidP="00345640">
            <w:pPr>
              <w:pStyle w:val="ListParagraph"/>
              <w:widowControl w:val="0"/>
              <w:numPr>
                <w:ilvl w:val="0"/>
                <w:numId w:val="7"/>
              </w:numPr>
              <w:autoSpaceDE w:val="0"/>
              <w:autoSpaceDN w:val="0"/>
              <w:spacing w:after="0"/>
              <w:ind w:left="596" w:hanging="283"/>
              <w:contextualSpacing w:val="0"/>
              <w:jc w:val="left"/>
              <w:rPr>
                <w:rFonts w:cstheme="minorHAnsi"/>
                <w:szCs w:val="20"/>
                <w:lang w:val="en-GB"/>
              </w:rPr>
            </w:pPr>
            <w:r w:rsidRPr="009B5B67">
              <w:rPr>
                <w:rFonts w:cstheme="minorHAnsi"/>
                <w:szCs w:val="20"/>
                <w:lang w:val="en-GB"/>
              </w:rPr>
              <w:t>Approach used to address the effects of age-class structure in forests;</w:t>
            </w:r>
          </w:p>
        </w:tc>
        <w:tc>
          <w:tcPr>
            <w:tcW w:w="6379" w:type="dxa"/>
          </w:tcPr>
          <w:p w14:paraId="0FC092E8" w14:textId="77777777" w:rsidR="00503AE8" w:rsidRPr="009B5B67" w:rsidRDefault="00B52800" w:rsidP="00503AE8">
            <w:pPr>
              <w:tabs>
                <w:tab w:val="left" w:pos="1134"/>
              </w:tabs>
              <w:rPr>
                <w:szCs w:val="20"/>
                <w:lang w:val="en-GB"/>
              </w:rPr>
            </w:pPr>
            <w:r w:rsidRPr="009B5B67">
              <w:rPr>
                <w:szCs w:val="20"/>
                <w:lang w:val="en-GB"/>
              </w:rPr>
              <w:t>Not applicable</w:t>
            </w:r>
          </w:p>
        </w:tc>
      </w:tr>
      <w:tr w:rsidR="00503AE8" w:rsidRPr="00080666" w14:paraId="183B28B5" w14:textId="77777777" w:rsidTr="006C0393">
        <w:trPr>
          <w:trHeight w:val="20"/>
        </w:trPr>
        <w:tc>
          <w:tcPr>
            <w:tcW w:w="3686" w:type="dxa"/>
          </w:tcPr>
          <w:p w14:paraId="7E6808A5" w14:textId="77777777" w:rsidR="00503AE8" w:rsidRPr="009B5B67" w:rsidRDefault="00503AE8" w:rsidP="00345640">
            <w:pPr>
              <w:tabs>
                <w:tab w:val="left" w:pos="2401"/>
                <w:tab w:val="left" w:pos="2402"/>
              </w:tabs>
              <w:spacing w:after="0"/>
              <w:ind w:left="322" w:hanging="322"/>
              <w:rPr>
                <w:rFonts w:cstheme="minorHAnsi"/>
                <w:szCs w:val="20"/>
                <w:lang w:val="en-GB"/>
              </w:rPr>
            </w:pPr>
            <w:r w:rsidRPr="009B5B67">
              <w:rPr>
                <w:rFonts w:cstheme="minorHAnsi"/>
                <w:szCs w:val="20"/>
                <w:lang w:val="en-GB"/>
              </w:rPr>
              <w:t>(f) Other</w:t>
            </w:r>
            <w:r w:rsidRPr="009B5B67">
              <w:rPr>
                <w:rFonts w:cstheme="minorHAnsi"/>
                <w:spacing w:val="-5"/>
                <w:szCs w:val="20"/>
                <w:lang w:val="en-GB"/>
              </w:rPr>
              <w:t xml:space="preserve"> </w:t>
            </w:r>
            <w:r w:rsidRPr="009B5B67">
              <w:rPr>
                <w:rFonts w:cstheme="minorHAnsi"/>
                <w:szCs w:val="20"/>
                <w:lang w:val="en-GB"/>
              </w:rPr>
              <w:t>assumptions and methodological approaches used for understanding</w:t>
            </w:r>
            <w:r w:rsidRPr="009B5B67">
              <w:rPr>
                <w:rFonts w:cstheme="minorHAnsi"/>
                <w:spacing w:val="-7"/>
                <w:szCs w:val="20"/>
                <w:lang w:val="en-GB"/>
              </w:rPr>
              <w:t xml:space="preserve"> </w:t>
            </w:r>
            <w:r w:rsidRPr="009B5B67">
              <w:rPr>
                <w:rFonts w:cstheme="minorHAnsi"/>
                <w:szCs w:val="20"/>
                <w:lang w:val="en-GB"/>
              </w:rPr>
              <w:t>the nationally determined contribution and, if applicable, estimating corresponding emissions and removals, including:</w:t>
            </w:r>
          </w:p>
        </w:tc>
        <w:tc>
          <w:tcPr>
            <w:tcW w:w="6379" w:type="dxa"/>
          </w:tcPr>
          <w:p w14:paraId="7820AA88" w14:textId="77777777" w:rsidR="00503AE8" w:rsidRPr="009B5B67" w:rsidRDefault="00503AE8" w:rsidP="00503AE8">
            <w:pPr>
              <w:tabs>
                <w:tab w:val="left" w:pos="2402"/>
              </w:tabs>
              <w:rPr>
                <w:rFonts w:cstheme="minorHAnsi"/>
                <w:szCs w:val="20"/>
                <w:lang w:val="en-GB"/>
              </w:rPr>
            </w:pPr>
          </w:p>
        </w:tc>
      </w:tr>
      <w:tr w:rsidR="00503AE8" w:rsidRPr="00080666" w14:paraId="5B75AA6D" w14:textId="77777777" w:rsidTr="006C0393">
        <w:trPr>
          <w:trHeight w:val="20"/>
        </w:trPr>
        <w:tc>
          <w:tcPr>
            <w:tcW w:w="3686" w:type="dxa"/>
          </w:tcPr>
          <w:p w14:paraId="309560A0" w14:textId="77777777" w:rsidR="00503AE8" w:rsidRPr="009B5B67" w:rsidRDefault="00503AE8" w:rsidP="00FD3D9F">
            <w:pPr>
              <w:pStyle w:val="ListParagraph"/>
              <w:widowControl w:val="0"/>
              <w:numPr>
                <w:ilvl w:val="0"/>
                <w:numId w:val="8"/>
              </w:numPr>
              <w:autoSpaceDE w:val="0"/>
              <w:autoSpaceDN w:val="0"/>
              <w:ind w:left="596" w:hanging="283"/>
              <w:contextualSpacing w:val="0"/>
              <w:jc w:val="left"/>
              <w:rPr>
                <w:rFonts w:cstheme="minorHAnsi"/>
                <w:szCs w:val="20"/>
                <w:lang w:val="en-GB"/>
              </w:rPr>
            </w:pPr>
            <w:r w:rsidRPr="009B5B67">
              <w:rPr>
                <w:rFonts w:cstheme="minorHAnsi"/>
                <w:szCs w:val="20"/>
                <w:lang w:val="en-GB"/>
              </w:rPr>
              <w:t>How the reference indicators, baseline(s) and/or reference level(s), including, where applicable, sector-, category- or activity-specific reference levels, are constructed, including, for example, key parameters, assumptions, definitions, methodologies, data sources and models used;</w:t>
            </w:r>
          </w:p>
        </w:tc>
        <w:tc>
          <w:tcPr>
            <w:tcW w:w="6379" w:type="dxa"/>
          </w:tcPr>
          <w:p w14:paraId="6DA8AECB" w14:textId="77777777" w:rsidR="00503AE8" w:rsidRPr="009B5B67" w:rsidRDefault="00503AE8" w:rsidP="00503AE8">
            <w:pPr>
              <w:tabs>
                <w:tab w:val="left" w:pos="1134"/>
              </w:tabs>
              <w:rPr>
                <w:rFonts w:cstheme="minorHAnsi"/>
                <w:szCs w:val="20"/>
                <w:lang w:val="en-GB"/>
              </w:rPr>
            </w:pPr>
            <w:r w:rsidRPr="009B5B67">
              <w:rPr>
                <w:rFonts w:cstheme="minorHAnsi"/>
                <w:szCs w:val="20"/>
                <w:lang w:val="en-GB"/>
              </w:rPr>
              <w:t xml:space="preserve">The reference indicators, baseline(s) and reference level are constructed based on National </w:t>
            </w:r>
            <w:r w:rsidR="00B52800" w:rsidRPr="009B5B67">
              <w:rPr>
                <w:rFonts w:cstheme="minorHAnsi"/>
                <w:szCs w:val="20"/>
                <w:lang w:val="en-GB"/>
              </w:rPr>
              <w:t>GHG</w:t>
            </w:r>
            <w:r w:rsidRPr="009B5B67">
              <w:rPr>
                <w:rFonts w:cstheme="minorHAnsi"/>
                <w:szCs w:val="20"/>
                <w:lang w:val="en-GB"/>
              </w:rPr>
              <w:t xml:space="preserve"> Inventory and baseline scenarios </w:t>
            </w:r>
            <w:proofErr w:type="gramStart"/>
            <w:r w:rsidRPr="009B5B67">
              <w:rPr>
                <w:rFonts w:cstheme="minorHAnsi"/>
                <w:szCs w:val="20"/>
                <w:lang w:val="en-GB"/>
              </w:rPr>
              <w:t>taking into account</w:t>
            </w:r>
            <w:proofErr w:type="gramEnd"/>
            <w:r w:rsidRPr="009B5B67">
              <w:rPr>
                <w:rFonts w:cstheme="minorHAnsi"/>
                <w:szCs w:val="20"/>
                <w:lang w:val="en-GB"/>
              </w:rPr>
              <w:t xml:space="preserve"> policies and measures adopted by the end of 2015. </w:t>
            </w:r>
          </w:p>
          <w:p w14:paraId="7B468553" w14:textId="14BAB2AD" w:rsidR="00503AE8" w:rsidRPr="009B5B67" w:rsidRDefault="00062756" w:rsidP="00062756">
            <w:pPr>
              <w:tabs>
                <w:tab w:val="left" w:pos="1134"/>
              </w:tabs>
              <w:rPr>
                <w:rFonts w:cstheme="minorHAnsi"/>
                <w:szCs w:val="20"/>
                <w:lang w:val="en-GB"/>
              </w:rPr>
            </w:pPr>
            <w:r w:rsidRPr="009B5B67">
              <w:rPr>
                <w:rFonts w:cstheme="minorHAnsi"/>
                <w:szCs w:val="20"/>
                <w:lang w:val="en-GB"/>
              </w:rPr>
              <w:t xml:space="preserve">Information </w:t>
            </w:r>
            <w:proofErr w:type="gramStart"/>
            <w:r w:rsidRPr="009B5B67">
              <w:rPr>
                <w:rFonts w:cstheme="minorHAnsi"/>
                <w:szCs w:val="20"/>
                <w:lang w:val="en-GB"/>
              </w:rPr>
              <w:t>are</w:t>
            </w:r>
            <w:proofErr w:type="gramEnd"/>
            <w:r w:rsidRPr="009B5B67">
              <w:rPr>
                <w:rFonts w:cstheme="minorHAnsi"/>
                <w:szCs w:val="20"/>
                <w:lang w:val="en-GB"/>
              </w:rPr>
              <w:t xml:space="preserve"> available in the 2BUR. </w:t>
            </w:r>
          </w:p>
        </w:tc>
      </w:tr>
      <w:tr w:rsidR="00503AE8" w:rsidRPr="009B5B67" w14:paraId="3D98A639" w14:textId="77777777" w:rsidTr="006C0393">
        <w:trPr>
          <w:trHeight w:val="20"/>
        </w:trPr>
        <w:tc>
          <w:tcPr>
            <w:tcW w:w="3686" w:type="dxa"/>
          </w:tcPr>
          <w:p w14:paraId="4C17F961" w14:textId="77777777" w:rsidR="00503AE8" w:rsidRPr="009B5B67" w:rsidRDefault="00503AE8" w:rsidP="00345640">
            <w:pPr>
              <w:pStyle w:val="ListParagraph"/>
              <w:widowControl w:val="0"/>
              <w:numPr>
                <w:ilvl w:val="0"/>
                <w:numId w:val="8"/>
              </w:numPr>
              <w:autoSpaceDE w:val="0"/>
              <w:autoSpaceDN w:val="0"/>
              <w:spacing w:after="0"/>
              <w:ind w:left="596" w:hanging="283"/>
              <w:contextualSpacing w:val="0"/>
              <w:jc w:val="left"/>
              <w:rPr>
                <w:rFonts w:cstheme="minorHAnsi"/>
                <w:szCs w:val="20"/>
                <w:lang w:val="en-GB"/>
              </w:rPr>
            </w:pPr>
            <w:r w:rsidRPr="009B5B67">
              <w:rPr>
                <w:rFonts w:cstheme="minorHAnsi"/>
                <w:szCs w:val="20"/>
                <w:lang w:val="en-GB"/>
              </w:rPr>
              <w:t>For Parties with nationally determined contributions that contain non- greenhouse-gas components, information on assumptions and methodological approaches used in relation to those components, as applicable;</w:t>
            </w:r>
          </w:p>
        </w:tc>
        <w:tc>
          <w:tcPr>
            <w:tcW w:w="6379" w:type="dxa"/>
          </w:tcPr>
          <w:p w14:paraId="4EC6D9A6" w14:textId="77777777" w:rsidR="00503AE8" w:rsidRPr="009B5B67" w:rsidRDefault="00503AE8" w:rsidP="00503AE8">
            <w:pPr>
              <w:tabs>
                <w:tab w:val="left" w:pos="1134"/>
              </w:tabs>
              <w:rPr>
                <w:rFonts w:cstheme="minorHAnsi"/>
                <w:szCs w:val="20"/>
                <w:lang w:val="en-GB"/>
              </w:rPr>
            </w:pPr>
            <w:r w:rsidRPr="009B5B67">
              <w:rPr>
                <w:rFonts w:cstheme="minorHAnsi"/>
                <w:szCs w:val="20"/>
                <w:lang w:val="en-GB"/>
              </w:rPr>
              <w:t>Not applicable</w:t>
            </w:r>
          </w:p>
        </w:tc>
      </w:tr>
      <w:tr w:rsidR="00503AE8" w:rsidRPr="009B5B67" w14:paraId="694C6DC6" w14:textId="77777777" w:rsidTr="006C0393">
        <w:trPr>
          <w:trHeight w:val="20"/>
        </w:trPr>
        <w:tc>
          <w:tcPr>
            <w:tcW w:w="3686" w:type="dxa"/>
          </w:tcPr>
          <w:p w14:paraId="242DA848" w14:textId="77777777" w:rsidR="00503AE8" w:rsidRPr="009B5B67" w:rsidRDefault="00503AE8" w:rsidP="00345640">
            <w:pPr>
              <w:pStyle w:val="ListParagraph"/>
              <w:widowControl w:val="0"/>
              <w:numPr>
                <w:ilvl w:val="0"/>
                <w:numId w:val="8"/>
              </w:numPr>
              <w:autoSpaceDE w:val="0"/>
              <w:autoSpaceDN w:val="0"/>
              <w:spacing w:after="0"/>
              <w:ind w:left="596" w:hanging="283"/>
              <w:contextualSpacing w:val="0"/>
              <w:jc w:val="left"/>
              <w:rPr>
                <w:rFonts w:cstheme="minorHAnsi"/>
                <w:szCs w:val="20"/>
                <w:lang w:val="en-GB"/>
              </w:rPr>
            </w:pPr>
            <w:r w:rsidRPr="009B5B67">
              <w:rPr>
                <w:rFonts w:cstheme="minorHAnsi"/>
                <w:szCs w:val="20"/>
                <w:lang w:val="en-GB"/>
              </w:rPr>
              <w:t xml:space="preserve">For climate forcers included in nationally determined contributions not covered by IPCC guidelines, information on how the climate forcers </w:t>
            </w:r>
            <w:proofErr w:type="gramStart"/>
            <w:r w:rsidRPr="009B5B67">
              <w:rPr>
                <w:rFonts w:cstheme="minorHAnsi"/>
                <w:szCs w:val="20"/>
                <w:lang w:val="en-GB"/>
              </w:rPr>
              <w:t>are</w:t>
            </w:r>
            <w:proofErr w:type="gramEnd"/>
            <w:r w:rsidRPr="009B5B67">
              <w:rPr>
                <w:rFonts w:cstheme="minorHAnsi"/>
                <w:szCs w:val="20"/>
                <w:lang w:val="en-GB"/>
              </w:rPr>
              <w:t xml:space="preserve"> estimated;</w:t>
            </w:r>
          </w:p>
        </w:tc>
        <w:tc>
          <w:tcPr>
            <w:tcW w:w="6379" w:type="dxa"/>
          </w:tcPr>
          <w:p w14:paraId="069DA841" w14:textId="77777777" w:rsidR="00503AE8" w:rsidRPr="009B5B67" w:rsidRDefault="00503AE8" w:rsidP="00503AE8">
            <w:pPr>
              <w:tabs>
                <w:tab w:val="left" w:pos="1134"/>
              </w:tabs>
              <w:rPr>
                <w:rFonts w:cstheme="minorHAnsi"/>
                <w:szCs w:val="20"/>
                <w:lang w:val="en-GB"/>
              </w:rPr>
            </w:pPr>
            <w:r w:rsidRPr="009B5B67">
              <w:rPr>
                <w:rFonts w:cstheme="minorHAnsi"/>
                <w:szCs w:val="20"/>
                <w:lang w:val="en-GB"/>
              </w:rPr>
              <w:t>Not applicable</w:t>
            </w:r>
          </w:p>
        </w:tc>
      </w:tr>
      <w:tr w:rsidR="00503AE8" w:rsidRPr="009B5B67" w14:paraId="1337426F" w14:textId="77777777" w:rsidTr="006C0393">
        <w:trPr>
          <w:trHeight w:val="20"/>
        </w:trPr>
        <w:tc>
          <w:tcPr>
            <w:tcW w:w="3686" w:type="dxa"/>
          </w:tcPr>
          <w:p w14:paraId="341C2C8E" w14:textId="77777777" w:rsidR="00503AE8" w:rsidRPr="009B5B67" w:rsidRDefault="00503AE8" w:rsidP="00345640">
            <w:pPr>
              <w:pStyle w:val="ListParagraph"/>
              <w:widowControl w:val="0"/>
              <w:numPr>
                <w:ilvl w:val="0"/>
                <w:numId w:val="8"/>
              </w:numPr>
              <w:autoSpaceDE w:val="0"/>
              <w:autoSpaceDN w:val="0"/>
              <w:spacing w:after="0"/>
              <w:ind w:left="596" w:hanging="283"/>
              <w:contextualSpacing w:val="0"/>
              <w:jc w:val="left"/>
              <w:rPr>
                <w:rFonts w:cstheme="minorHAnsi"/>
                <w:szCs w:val="20"/>
                <w:lang w:val="en-GB"/>
              </w:rPr>
            </w:pPr>
            <w:r w:rsidRPr="009B5B67">
              <w:rPr>
                <w:rFonts w:cstheme="minorHAnsi"/>
                <w:szCs w:val="20"/>
                <w:lang w:val="en-GB"/>
              </w:rPr>
              <w:t xml:space="preserve">Further technical information, </w:t>
            </w:r>
            <w:r w:rsidRPr="009B5B67">
              <w:rPr>
                <w:rFonts w:cstheme="minorHAnsi"/>
                <w:szCs w:val="20"/>
                <w:lang w:val="en-GB"/>
              </w:rPr>
              <w:lastRenderedPageBreak/>
              <w:t>as necessary;</w:t>
            </w:r>
          </w:p>
        </w:tc>
        <w:tc>
          <w:tcPr>
            <w:tcW w:w="6379" w:type="dxa"/>
          </w:tcPr>
          <w:p w14:paraId="37E62571" w14:textId="77777777" w:rsidR="00503AE8" w:rsidRPr="009B5B67" w:rsidRDefault="00503AE8" w:rsidP="00503AE8">
            <w:pPr>
              <w:tabs>
                <w:tab w:val="left" w:pos="1134"/>
              </w:tabs>
              <w:rPr>
                <w:rFonts w:cstheme="minorHAnsi"/>
                <w:szCs w:val="20"/>
                <w:lang w:val="en-GB"/>
              </w:rPr>
            </w:pPr>
            <w:r w:rsidRPr="009B5B67">
              <w:rPr>
                <w:rFonts w:cstheme="minorHAnsi"/>
                <w:szCs w:val="20"/>
                <w:lang w:val="en-GB"/>
              </w:rPr>
              <w:lastRenderedPageBreak/>
              <w:t>Not applicable</w:t>
            </w:r>
          </w:p>
        </w:tc>
      </w:tr>
      <w:tr w:rsidR="00503AE8" w:rsidRPr="00080666" w14:paraId="70A4985C" w14:textId="77777777" w:rsidTr="006C0393">
        <w:trPr>
          <w:trHeight w:val="20"/>
        </w:trPr>
        <w:tc>
          <w:tcPr>
            <w:tcW w:w="3686" w:type="dxa"/>
          </w:tcPr>
          <w:p w14:paraId="49FC62C2" w14:textId="77777777" w:rsidR="00503AE8" w:rsidRPr="009B5B67" w:rsidRDefault="00503AE8" w:rsidP="00345640">
            <w:pPr>
              <w:tabs>
                <w:tab w:val="left" w:pos="2401"/>
                <w:tab w:val="left" w:pos="2402"/>
              </w:tabs>
              <w:spacing w:after="0"/>
              <w:ind w:left="322" w:hanging="322"/>
              <w:rPr>
                <w:rFonts w:cstheme="minorHAnsi"/>
                <w:szCs w:val="20"/>
                <w:lang w:val="en-GB"/>
              </w:rPr>
            </w:pPr>
            <w:r w:rsidRPr="009B5B67">
              <w:rPr>
                <w:rFonts w:cstheme="minorHAnsi"/>
                <w:szCs w:val="20"/>
                <w:lang w:val="en-GB"/>
              </w:rPr>
              <w:t>(g) The intention to use voluntary cooperation under Article 6 of the Paris Agreement, if</w:t>
            </w:r>
            <w:r w:rsidRPr="009B5B67">
              <w:rPr>
                <w:rFonts w:cstheme="minorHAnsi"/>
                <w:spacing w:val="-3"/>
                <w:szCs w:val="20"/>
                <w:lang w:val="en-GB"/>
              </w:rPr>
              <w:t xml:space="preserve"> </w:t>
            </w:r>
            <w:r w:rsidRPr="009B5B67">
              <w:rPr>
                <w:rFonts w:cstheme="minorHAnsi"/>
                <w:szCs w:val="20"/>
                <w:lang w:val="en-GB"/>
              </w:rPr>
              <w:t>applicable.</w:t>
            </w:r>
          </w:p>
        </w:tc>
        <w:tc>
          <w:tcPr>
            <w:tcW w:w="6379" w:type="dxa"/>
          </w:tcPr>
          <w:p w14:paraId="280BAE2C" w14:textId="161B53D3" w:rsidR="00C6041B" w:rsidRPr="009B5B67" w:rsidRDefault="00C6041B" w:rsidP="00C6041B">
            <w:pPr>
              <w:pStyle w:val="CommentText"/>
              <w:rPr>
                <w:lang w:val="en-GB"/>
              </w:rPr>
            </w:pPr>
            <w:r w:rsidRPr="009B5B67">
              <w:rPr>
                <w:lang w:val="en-GB"/>
              </w:rPr>
              <w:t xml:space="preserve">Participation in global carbon market mechanisms is principally supported by Serbia </w:t>
            </w:r>
            <w:r w:rsidR="005814B3">
              <w:rPr>
                <w:lang w:val="en-GB"/>
              </w:rPr>
              <w:t xml:space="preserve">as </w:t>
            </w:r>
            <w:r w:rsidRPr="009B5B67">
              <w:rPr>
                <w:lang w:val="en-GB"/>
              </w:rPr>
              <w:t>under the consideration of the final implementing decision of Art. 6.</w:t>
            </w:r>
          </w:p>
          <w:p w14:paraId="0EEE8D04" w14:textId="5D51F77A" w:rsidR="00CB0204" w:rsidRPr="009B5B67" w:rsidRDefault="00C6041B" w:rsidP="001F3BEE">
            <w:pPr>
              <w:pStyle w:val="CommentText"/>
              <w:rPr>
                <w:rFonts w:cstheme="minorHAnsi"/>
                <w:lang w:val="en-GB"/>
              </w:rPr>
            </w:pPr>
            <w:r w:rsidRPr="009B5B67">
              <w:rPr>
                <w:lang w:val="en-GB"/>
              </w:rPr>
              <w:t>Moreover, as the EU candidate country Serbia aligns it</w:t>
            </w:r>
            <w:r w:rsidR="00CF54C2" w:rsidRPr="009B5B67">
              <w:rPr>
                <w:lang w:val="en-GB"/>
              </w:rPr>
              <w:t>s</w:t>
            </w:r>
            <w:r w:rsidRPr="009B5B67">
              <w:rPr>
                <w:lang w:val="en-GB"/>
              </w:rPr>
              <w:t xml:space="preserve"> legislation </w:t>
            </w:r>
            <w:r w:rsidR="001F3BEE" w:rsidRPr="009B5B67">
              <w:rPr>
                <w:lang w:val="en-GB"/>
              </w:rPr>
              <w:t>with the</w:t>
            </w:r>
            <w:r w:rsidR="00CF54C2" w:rsidRPr="009B5B67">
              <w:rPr>
                <w:lang w:val="en-GB"/>
              </w:rPr>
              <w:t xml:space="preserve"> EU acquis, </w:t>
            </w:r>
            <w:r w:rsidR="001F3BEE" w:rsidRPr="009B5B67">
              <w:rPr>
                <w:lang w:val="en-GB"/>
              </w:rPr>
              <w:t>including the</w:t>
            </w:r>
            <w:r w:rsidRPr="009B5B67">
              <w:rPr>
                <w:lang w:val="en-GB"/>
              </w:rPr>
              <w:t xml:space="preserve"> EU E</w:t>
            </w:r>
            <w:r w:rsidR="005814B3">
              <w:rPr>
                <w:lang w:val="en-GB"/>
              </w:rPr>
              <w:t xml:space="preserve">missions </w:t>
            </w:r>
            <w:r w:rsidRPr="009B5B67">
              <w:rPr>
                <w:lang w:val="en-GB"/>
              </w:rPr>
              <w:t>T</w:t>
            </w:r>
            <w:r w:rsidR="005814B3">
              <w:rPr>
                <w:lang w:val="en-GB"/>
              </w:rPr>
              <w:t xml:space="preserve">rading </w:t>
            </w:r>
            <w:r w:rsidRPr="009B5B67">
              <w:rPr>
                <w:lang w:val="en-GB"/>
              </w:rPr>
              <w:t>S</w:t>
            </w:r>
            <w:r w:rsidR="005814B3">
              <w:rPr>
                <w:lang w:val="en-GB"/>
              </w:rPr>
              <w:t>ystem.</w:t>
            </w:r>
            <w:r w:rsidR="001F3BEE" w:rsidRPr="009B5B67">
              <w:rPr>
                <w:lang w:val="en-GB"/>
              </w:rPr>
              <w:t xml:space="preserve">  </w:t>
            </w:r>
            <w:r w:rsidRPr="009B5B67">
              <w:rPr>
                <w:lang w:val="en-GB"/>
              </w:rPr>
              <w:t xml:space="preserve"> </w:t>
            </w:r>
          </w:p>
        </w:tc>
      </w:tr>
    </w:tbl>
    <w:p w14:paraId="7575ED51" w14:textId="77777777" w:rsidR="00345640" w:rsidRPr="009B5B67" w:rsidRDefault="00345640">
      <w:pPr>
        <w:rPr>
          <w:lang w:val="en-GB"/>
        </w:rPr>
      </w:pPr>
    </w:p>
    <w:tbl>
      <w:tblPr>
        <w:tblStyle w:val="TableGrid"/>
        <w:tblW w:w="10065" w:type="dxa"/>
        <w:tblInd w:w="-5" w:type="dxa"/>
        <w:tblCellMar>
          <w:top w:w="108" w:type="dxa"/>
          <w:bottom w:w="108" w:type="dxa"/>
        </w:tblCellMar>
        <w:tblLook w:val="04A0" w:firstRow="1" w:lastRow="0" w:firstColumn="1" w:lastColumn="0" w:noHBand="0" w:noVBand="1"/>
      </w:tblPr>
      <w:tblGrid>
        <w:gridCol w:w="3686"/>
        <w:gridCol w:w="6379"/>
      </w:tblGrid>
      <w:tr w:rsidR="00503AE8" w:rsidRPr="00080666" w14:paraId="4884DB34" w14:textId="77777777" w:rsidTr="006C0393">
        <w:trPr>
          <w:trHeight w:val="20"/>
        </w:trPr>
        <w:tc>
          <w:tcPr>
            <w:tcW w:w="10065" w:type="dxa"/>
            <w:gridSpan w:val="2"/>
            <w:shd w:val="clear" w:color="auto" w:fill="D9E2F3" w:themeFill="accent1" w:themeFillTint="33"/>
          </w:tcPr>
          <w:p w14:paraId="481E2BD8" w14:textId="77777777" w:rsidR="00503AE8" w:rsidRPr="009B5B67" w:rsidRDefault="00503AE8" w:rsidP="00345640">
            <w:pPr>
              <w:pStyle w:val="Heading6"/>
              <w:spacing w:after="0"/>
              <w:rPr>
                <w:lang w:val="en-GB"/>
              </w:rPr>
            </w:pPr>
            <w:bookmarkStart w:id="24" w:name="_Toc56411149"/>
            <w:r w:rsidRPr="009B5B67">
              <w:rPr>
                <w:lang w:val="en-GB"/>
              </w:rPr>
              <w:t>6. How the Party considers that its nationally determined contribution is fair and ambitious in the light of its national circumstances:</w:t>
            </w:r>
            <w:bookmarkEnd w:id="24"/>
          </w:p>
        </w:tc>
      </w:tr>
      <w:tr w:rsidR="00503AE8" w:rsidRPr="009B5B67" w14:paraId="5E9872AF" w14:textId="77777777" w:rsidTr="006C0393">
        <w:trPr>
          <w:trHeight w:val="20"/>
        </w:trPr>
        <w:tc>
          <w:tcPr>
            <w:tcW w:w="3686" w:type="dxa"/>
          </w:tcPr>
          <w:p w14:paraId="2BDA3CA6" w14:textId="77777777" w:rsidR="00503AE8" w:rsidRPr="009B5B67" w:rsidRDefault="00503AE8" w:rsidP="00345640">
            <w:pPr>
              <w:keepNext/>
              <w:keepLines/>
              <w:tabs>
                <w:tab w:val="left" w:pos="2401"/>
                <w:tab w:val="left" w:pos="2402"/>
              </w:tabs>
              <w:ind w:left="322" w:hanging="322"/>
              <w:rPr>
                <w:rFonts w:cstheme="minorHAnsi"/>
                <w:szCs w:val="20"/>
                <w:lang w:val="en-GB"/>
              </w:rPr>
            </w:pPr>
            <w:r w:rsidRPr="009B5B67">
              <w:rPr>
                <w:rFonts w:cstheme="minorHAnsi"/>
                <w:szCs w:val="20"/>
                <w:lang w:val="en-GB"/>
              </w:rPr>
              <w:t>(a) How the Party considers that its nationally determined contribution is fair and ambitious in the light of its national circumstances;</w:t>
            </w:r>
          </w:p>
        </w:tc>
        <w:tc>
          <w:tcPr>
            <w:tcW w:w="6379" w:type="dxa"/>
          </w:tcPr>
          <w:p w14:paraId="38683E2E" w14:textId="7E1A7FBD" w:rsidR="002A3398" w:rsidRPr="009B5B67" w:rsidRDefault="00CB0204" w:rsidP="00E53DBA">
            <w:pPr>
              <w:keepNext/>
              <w:keepLines/>
              <w:tabs>
                <w:tab w:val="left" w:pos="2402"/>
              </w:tabs>
              <w:rPr>
                <w:lang w:val="en-GB"/>
              </w:rPr>
            </w:pPr>
            <w:r w:rsidRPr="009B5B67">
              <w:rPr>
                <w:lang w:val="en-GB"/>
              </w:rPr>
              <w:t xml:space="preserve">Under the UNFCCC, Serbia is a developing country Party, </w:t>
            </w:r>
            <w:r w:rsidR="00B72BB3" w:rsidRPr="009B5B67">
              <w:rPr>
                <w:lang w:val="en-GB"/>
              </w:rPr>
              <w:t>which energy production relay on domestic lignite</w:t>
            </w:r>
            <w:r w:rsidR="0005717C" w:rsidRPr="009B5B67">
              <w:rPr>
                <w:lang w:val="en-GB"/>
              </w:rPr>
              <w:t xml:space="preserve">, </w:t>
            </w:r>
            <w:r w:rsidR="00DE7E36" w:rsidRPr="009B5B67">
              <w:rPr>
                <w:lang w:val="en-GB"/>
              </w:rPr>
              <w:t xml:space="preserve">that </w:t>
            </w:r>
            <w:r w:rsidR="00DE7E36" w:rsidRPr="009B5B67">
              <w:rPr>
                <w:szCs w:val="20"/>
                <w:lang w:val="en-GB"/>
              </w:rPr>
              <w:t>increase of the ambition of more than three times</w:t>
            </w:r>
            <w:r w:rsidR="00DE7E36" w:rsidRPr="009B5B67">
              <w:rPr>
                <w:rFonts w:cs="Arial"/>
                <w:szCs w:val="20"/>
                <w:lang w:val="en-GB"/>
              </w:rPr>
              <w:t xml:space="preserve"> compared to</w:t>
            </w:r>
            <w:r w:rsidR="005208F5" w:rsidRPr="009B5B67">
              <w:rPr>
                <w:rFonts w:cs="Arial"/>
                <w:szCs w:val="20"/>
                <w:lang w:val="en-GB"/>
              </w:rPr>
              <w:t xml:space="preserve"> the first NDC</w:t>
            </w:r>
            <w:r w:rsidR="005208F5" w:rsidRPr="009B5B67">
              <w:rPr>
                <w:lang w:val="en-GB"/>
              </w:rPr>
              <w:t>.</w:t>
            </w:r>
          </w:p>
          <w:p w14:paraId="7856EA80" w14:textId="3991E358" w:rsidR="00662BF0" w:rsidRPr="009B5B67" w:rsidRDefault="00662BF0" w:rsidP="0047026A">
            <w:pPr>
              <w:keepNext/>
              <w:keepLines/>
              <w:tabs>
                <w:tab w:val="left" w:pos="2402"/>
              </w:tabs>
              <w:rPr>
                <w:lang w:val="en-GB"/>
              </w:rPr>
            </w:pPr>
            <w:r w:rsidRPr="009B5B67">
              <w:rPr>
                <w:lang w:val="en-GB"/>
              </w:rPr>
              <w:t xml:space="preserve">NDC of the Republic of Serbia </w:t>
            </w:r>
            <w:r w:rsidR="0034763D" w:rsidRPr="009B5B67">
              <w:rPr>
                <w:lang w:val="en-GB"/>
              </w:rPr>
              <w:t>is</w:t>
            </w:r>
            <w:r w:rsidRPr="009B5B67">
              <w:rPr>
                <w:lang w:val="en-GB"/>
              </w:rPr>
              <w:t xml:space="preserve"> </w:t>
            </w:r>
            <w:r w:rsidR="0034763D" w:rsidRPr="009B5B67">
              <w:rPr>
                <w:lang w:val="en-GB"/>
              </w:rPr>
              <w:t>a</w:t>
            </w:r>
            <w:r w:rsidRPr="009B5B67">
              <w:rPr>
                <w:lang w:val="en-GB"/>
              </w:rPr>
              <w:t xml:space="preserve"> part of the long-ter</w:t>
            </w:r>
            <w:r w:rsidR="0034763D" w:rsidRPr="009B5B67">
              <w:rPr>
                <w:lang w:val="en-GB"/>
              </w:rPr>
              <w:t>m GHG emission reduction vision in the</w:t>
            </w:r>
            <w:r w:rsidR="006C6B84" w:rsidRPr="009B5B67">
              <w:rPr>
                <w:lang w:val="en-GB"/>
              </w:rPr>
              <w:t xml:space="preserve"> year 2050 as required by the</w:t>
            </w:r>
            <w:r w:rsidRPr="009B5B67">
              <w:rPr>
                <w:lang w:val="en-GB"/>
              </w:rPr>
              <w:t xml:space="preserve"> Paris Agreement long-term goals.</w:t>
            </w:r>
            <w:r w:rsidR="006C6B84" w:rsidRPr="009B5B67">
              <w:rPr>
                <w:lang w:val="en-GB"/>
              </w:rPr>
              <w:t xml:space="preserve"> </w:t>
            </w:r>
          </w:p>
          <w:p w14:paraId="2CCB6B28" w14:textId="1AB0B5DB" w:rsidR="0047026A" w:rsidRPr="009B5B67" w:rsidRDefault="0047026A" w:rsidP="002A3398">
            <w:pPr>
              <w:keepNext/>
              <w:keepLines/>
              <w:tabs>
                <w:tab w:val="left" w:pos="2402"/>
              </w:tabs>
              <w:spacing w:after="0"/>
              <w:rPr>
                <w:lang w:val="en-GB"/>
              </w:rPr>
            </w:pPr>
            <w:r w:rsidRPr="009B5B67">
              <w:rPr>
                <w:lang w:val="en-GB"/>
              </w:rPr>
              <w:t xml:space="preserve">Roadmap for a Just Transition in Serbia is defined and </w:t>
            </w:r>
            <w:r w:rsidR="00175597">
              <w:rPr>
                <w:rFonts w:cstheme="minorHAnsi"/>
                <w:szCs w:val="20"/>
                <w:lang w:val="en-GB"/>
              </w:rPr>
              <w:t>i</w:t>
            </w:r>
            <w:r w:rsidR="00175597" w:rsidRPr="009B5B67">
              <w:rPr>
                <w:rFonts w:cstheme="minorHAnsi"/>
                <w:szCs w:val="20"/>
                <w:lang w:val="en-GB"/>
              </w:rPr>
              <w:t xml:space="preserve">n </w:t>
            </w:r>
            <w:r w:rsidRPr="009B5B67">
              <w:rPr>
                <w:rFonts w:cstheme="minorHAnsi"/>
                <w:szCs w:val="20"/>
                <w:lang w:val="en-GB"/>
              </w:rPr>
              <w:t>compliance with modalities of the global stocktake, the reduction commitments of the updated NDC of the Republic of Serbia will be considered.</w:t>
            </w:r>
          </w:p>
          <w:p w14:paraId="030CDC8D" w14:textId="2C575BAD" w:rsidR="00662BF0" w:rsidRPr="009B5B67" w:rsidRDefault="005C3690" w:rsidP="005C3690">
            <w:pPr>
              <w:keepNext/>
              <w:keepLines/>
              <w:tabs>
                <w:tab w:val="left" w:pos="2402"/>
              </w:tabs>
              <w:spacing w:before="120" w:after="0"/>
              <w:rPr>
                <w:rFonts w:cstheme="majorHAnsi"/>
                <w:lang w:val="en-GB"/>
              </w:rPr>
            </w:pPr>
            <w:r w:rsidRPr="009B5B67">
              <w:rPr>
                <w:rFonts w:cs="Arial"/>
                <w:szCs w:val="20"/>
                <w:lang w:val="en-GB"/>
              </w:rPr>
              <w:t xml:space="preserve">Serbia suffered damages of minimum EUR 1.8 billion in just </w:t>
            </w:r>
            <w:proofErr w:type="gramStart"/>
            <w:r w:rsidRPr="009B5B67">
              <w:rPr>
                <w:rFonts w:cs="Arial"/>
                <w:szCs w:val="20"/>
                <w:lang w:val="en-GB"/>
              </w:rPr>
              <w:t>five year</w:t>
            </w:r>
            <w:proofErr w:type="gramEnd"/>
            <w:r w:rsidRPr="009B5B67">
              <w:rPr>
                <w:rFonts w:cs="Arial"/>
                <w:szCs w:val="20"/>
                <w:lang w:val="en-GB"/>
              </w:rPr>
              <w:t xml:space="preserve"> period (2015-2020). Moreover, </w:t>
            </w:r>
            <w:r w:rsidR="00154255" w:rsidRPr="009B5B67">
              <w:rPr>
                <w:rFonts w:cstheme="majorHAnsi"/>
                <w:lang w:val="en-GB"/>
              </w:rPr>
              <w:t>Serbia’s GDP potential decrease in case of the global mean temperature increase, relative to the projected GDP without warming is:</w:t>
            </w:r>
            <w:r w:rsidR="007A19C6" w:rsidRPr="009B5B67">
              <w:rPr>
                <w:rStyle w:val="FootnoteReference"/>
                <w:rFonts w:cstheme="majorHAnsi"/>
                <w:lang w:val="en-GB"/>
              </w:rPr>
              <w:footnoteReference w:id="16"/>
            </w:r>
            <w:r w:rsidR="00154255" w:rsidRPr="009B5B67">
              <w:rPr>
                <w:rFonts w:cstheme="majorHAnsi"/>
                <w:lang w:val="en-GB"/>
              </w:rPr>
              <w:t xml:space="preserve"> </w:t>
            </w:r>
          </w:p>
          <w:tbl>
            <w:tblPr>
              <w:tblStyle w:val="TableGrid"/>
              <w:tblW w:w="0" w:type="auto"/>
              <w:jc w:val="center"/>
              <w:tblLook w:val="04A0" w:firstRow="1" w:lastRow="0" w:firstColumn="1" w:lastColumn="0" w:noHBand="0" w:noVBand="1"/>
            </w:tblPr>
            <w:tblGrid>
              <w:gridCol w:w="2061"/>
              <w:gridCol w:w="1962"/>
              <w:gridCol w:w="2130"/>
            </w:tblGrid>
            <w:tr w:rsidR="00154255" w:rsidRPr="00080666" w14:paraId="42BAF8DC" w14:textId="77777777" w:rsidTr="00154255">
              <w:trPr>
                <w:jc w:val="center"/>
              </w:trPr>
              <w:tc>
                <w:tcPr>
                  <w:tcW w:w="2214" w:type="dxa"/>
                </w:tcPr>
                <w:p w14:paraId="2EE2443B" w14:textId="77777777" w:rsidR="00154255" w:rsidRPr="009B5B67" w:rsidRDefault="00154255" w:rsidP="00154255">
                  <w:pPr>
                    <w:jc w:val="center"/>
                    <w:rPr>
                      <w:rFonts w:cstheme="majorHAnsi"/>
                      <w:b/>
                      <w:lang w:val="en-GB"/>
                    </w:rPr>
                  </w:pPr>
                </w:p>
              </w:tc>
              <w:tc>
                <w:tcPr>
                  <w:tcW w:w="4591" w:type="dxa"/>
                  <w:gridSpan w:val="2"/>
                </w:tcPr>
                <w:p w14:paraId="39606978" w14:textId="77777777" w:rsidR="00154255" w:rsidRPr="009B5B67" w:rsidRDefault="00154255" w:rsidP="00154255">
                  <w:pPr>
                    <w:jc w:val="center"/>
                    <w:rPr>
                      <w:rFonts w:cstheme="majorHAnsi"/>
                      <w:b/>
                      <w:lang w:val="en-GB"/>
                    </w:rPr>
                  </w:pPr>
                  <w:r w:rsidRPr="009B5B67">
                    <w:rPr>
                      <w:rFonts w:cstheme="majorHAnsi"/>
                      <w:b/>
                      <w:lang w:val="en-GB"/>
                    </w:rPr>
                    <w:t>GDP decrease (billion USD and %)</w:t>
                  </w:r>
                </w:p>
              </w:tc>
            </w:tr>
            <w:tr w:rsidR="00154255" w:rsidRPr="009B5B67" w14:paraId="37EBC192" w14:textId="77777777" w:rsidTr="00154255">
              <w:trPr>
                <w:jc w:val="center"/>
              </w:trPr>
              <w:tc>
                <w:tcPr>
                  <w:tcW w:w="2214" w:type="dxa"/>
                </w:tcPr>
                <w:p w14:paraId="19E9E8B7" w14:textId="77777777" w:rsidR="00154255" w:rsidRPr="009B5B67" w:rsidRDefault="00154255" w:rsidP="00154255">
                  <w:pPr>
                    <w:jc w:val="center"/>
                    <w:rPr>
                      <w:rFonts w:cstheme="majorHAnsi"/>
                      <w:b/>
                      <w:lang w:val="en-GB"/>
                    </w:rPr>
                  </w:pPr>
                  <w:r w:rsidRPr="009B5B67">
                    <w:rPr>
                      <w:rFonts w:cstheme="majorHAnsi"/>
                      <w:b/>
                      <w:lang w:val="en-GB"/>
                    </w:rPr>
                    <w:t>Temperature increase</w:t>
                  </w:r>
                </w:p>
              </w:tc>
              <w:tc>
                <w:tcPr>
                  <w:tcW w:w="2214" w:type="dxa"/>
                </w:tcPr>
                <w:p w14:paraId="3D917153" w14:textId="77777777" w:rsidR="00154255" w:rsidRPr="009B5B67" w:rsidRDefault="00154255" w:rsidP="00154255">
                  <w:pPr>
                    <w:jc w:val="center"/>
                    <w:rPr>
                      <w:rFonts w:cstheme="majorHAnsi"/>
                      <w:b/>
                      <w:lang w:val="en-GB"/>
                    </w:rPr>
                  </w:pPr>
                  <w:r w:rsidRPr="009B5B67">
                    <w:rPr>
                      <w:rFonts w:cstheme="majorHAnsi"/>
                      <w:b/>
                      <w:lang w:val="en-GB"/>
                    </w:rPr>
                    <w:t>2020 - 2040</w:t>
                  </w:r>
                </w:p>
              </w:tc>
              <w:tc>
                <w:tcPr>
                  <w:tcW w:w="2377" w:type="dxa"/>
                </w:tcPr>
                <w:p w14:paraId="0FB54383" w14:textId="77777777" w:rsidR="00154255" w:rsidRPr="009B5B67" w:rsidRDefault="00154255" w:rsidP="00154255">
                  <w:pPr>
                    <w:jc w:val="center"/>
                    <w:rPr>
                      <w:rFonts w:cstheme="majorHAnsi"/>
                      <w:b/>
                      <w:lang w:val="en-GB"/>
                    </w:rPr>
                  </w:pPr>
                  <w:r w:rsidRPr="009B5B67">
                    <w:rPr>
                      <w:rFonts w:cstheme="majorHAnsi"/>
                      <w:b/>
                      <w:lang w:val="en-GB"/>
                    </w:rPr>
                    <w:t>2020 – 2100</w:t>
                  </w:r>
                </w:p>
              </w:tc>
            </w:tr>
            <w:tr w:rsidR="00154255" w:rsidRPr="009B5B67" w14:paraId="2AE8127B" w14:textId="77777777" w:rsidTr="00154255">
              <w:trPr>
                <w:jc w:val="center"/>
              </w:trPr>
              <w:tc>
                <w:tcPr>
                  <w:tcW w:w="2214" w:type="dxa"/>
                </w:tcPr>
                <w:p w14:paraId="6A6DD4BB" w14:textId="77777777" w:rsidR="00154255" w:rsidRPr="009B5B67" w:rsidRDefault="00154255" w:rsidP="00154255">
                  <w:pPr>
                    <w:jc w:val="center"/>
                    <w:rPr>
                      <w:rFonts w:cstheme="majorHAnsi"/>
                      <w:lang w:val="en-GB"/>
                    </w:rPr>
                  </w:pPr>
                  <w:r w:rsidRPr="009B5B67">
                    <w:rPr>
                      <w:rFonts w:cstheme="majorHAnsi"/>
                      <w:lang w:val="en-GB"/>
                    </w:rPr>
                    <w:t>1 °C</w:t>
                  </w:r>
                </w:p>
              </w:tc>
              <w:tc>
                <w:tcPr>
                  <w:tcW w:w="2214" w:type="dxa"/>
                </w:tcPr>
                <w:p w14:paraId="1286E9D8" w14:textId="77777777" w:rsidR="00154255" w:rsidRPr="009B5B67" w:rsidRDefault="00154255" w:rsidP="00154255">
                  <w:pPr>
                    <w:jc w:val="center"/>
                    <w:rPr>
                      <w:rFonts w:cstheme="majorHAnsi"/>
                      <w:lang w:val="en-GB"/>
                    </w:rPr>
                  </w:pPr>
                  <w:r w:rsidRPr="009B5B67">
                    <w:rPr>
                      <w:rFonts w:cstheme="majorHAnsi"/>
                      <w:lang w:val="en-GB"/>
                    </w:rPr>
                    <w:t>15,465 (1.20%)</w:t>
                  </w:r>
                </w:p>
              </w:tc>
              <w:tc>
                <w:tcPr>
                  <w:tcW w:w="2377" w:type="dxa"/>
                </w:tcPr>
                <w:p w14:paraId="5CC5CA20" w14:textId="77777777" w:rsidR="00154255" w:rsidRPr="009B5B67" w:rsidRDefault="00154255" w:rsidP="00154255">
                  <w:pPr>
                    <w:jc w:val="center"/>
                    <w:rPr>
                      <w:rFonts w:cstheme="majorHAnsi"/>
                      <w:lang w:val="en-GB"/>
                    </w:rPr>
                  </w:pPr>
                  <w:r w:rsidRPr="009B5B67">
                    <w:rPr>
                      <w:rFonts w:cstheme="majorHAnsi"/>
                      <w:lang w:val="en-GB"/>
                    </w:rPr>
                    <w:t>344,364 (4.19%)</w:t>
                  </w:r>
                </w:p>
              </w:tc>
            </w:tr>
            <w:tr w:rsidR="00154255" w:rsidRPr="009B5B67" w14:paraId="237EF318" w14:textId="77777777" w:rsidTr="00154255">
              <w:trPr>
                <w:jc w:val="center"/>
              </w:trPr>
              <w:tc>
                <w:tcPr>
                  <w:tcW w:w="2214" w:type="dxa"/>
                </w:tcPr>
                <w:p w14:paraId="2419BEE5" w14:textId="77777777" w:rsidR="00154255" w:rsidRPr="009B5B67" w:rsidRDefault="00154255" w:rsidP="00154255">
                  <w:pPr>
                    <w:jc w:val="center"/>
                    <w:rPr>
                      <w:rFonts w:cstheme="majorHAnsi"/>
                      <w:lang w:val="en-GB"/>
                    </w:rPr>
                  </w:pPr>
                  <w:r w:rsidRPr="009B5B67">
                    <w:rPr>
                      <w:rFonts w:cstheme="majorHAnsi"/>
                      <w:lang w:val="en-GB"/>
                    </w:rPr>
                    <w:t>2 °C</w:t>
                  </w:r>
                </w:p>
              </w:tc>
              <w:tc>
                <w:tcPr>
                  <w:tcW w:w="2214" w:type="dxa"/>
                </w:tcPr>
                <w:p w14:paraId="0ABD123D" w14:textId="77777777" w:rsidR="00154255" w:rsidRPr="009B5B67" w:rsidRDefault="00154255" w:rsidP="00154255">
                  <w:pPr>
                    <w:jc w:val="center"/>
                    <w:rPr>
                      <w:rFonts w:cstheme="majorHAnsi"/>
                      <w:lang w:val="en-GB"/>
                    </w:rPr>
                  </w:pPr>
                  <w:r w:rsidRPr="009B5B67">
                    <w:rPr>
                      <w:rFonts w:cstheme="majorHAnsi"/>
                      <w:lang w:val="en-GB"/>
                    </w:rPr>
                    <w:t>58,124 (4.53%)</w:t>
                  </w:r>
                </w:p>
              </w:tc>
              <w:tc>
                <w:tcPr>
                  <w:tcW w:w="2377" w:type="dxa"/>
                </w:tcPr>
                <w:p w14:paraId="127166BC" w14:textId="77777777" w:rsidR="00154255" w:rsidRPr="009B5B67" w:rsidRDefault="00154255" w:rsidP="00154255">
                  <w:pPr>
                    <w:jc w:val="center"/>
                    <w:rPr>
                      <w:rFonts w:cstheme="majorHAnsi"/>
                      <w:lang w:val="en-GB"/>
                    </w:rPr>
                  </w:pPr>
                  <w:r w:rsidRPr="009B5B67">
                    <w:rPr>
                      <w:rFonts w:cstheme="majorHAnsi"/>
                      <w:lang w:val="en-GB"/>
                    </w:rPr>
                    <w:t>766,317 (9.32%)</w:t>
                  </w:r>
                </w:p>
              </w:tc>
            </w:tr>
            <w:tr w:rsidR="00154255" w:rsidRPr="009B5B67" w14:paraId="2EFAD28C" w14:textId="77777777" w:rsidTr="00154255">
              <w:trPr>
                <w:jc w:val="center"/>
              </w:trPr>
              <w:tc>
                <w:tcPr>
                  <w:tcW w:w="2214" w:type="dxa"/>
                </w:tcPr>
                <w:p w14:paraId="5840AD6B" w14:textId="77777777" w:rsidR="00154255" w:rsidRPr="009B5B67" w:rsidRDefault="00154255" w:rsidP="00154255">
                  <w:pPr>
                    <w:jc w:val="center"/>
                    <w:rPr>
                      <w:rFonts w:cstheme="majorHAnsi"/>
                      <w:lang w:val="en-GB"/>
                    </w:rPr>
                  </w:pPr>
                  <w:r w:rsidRPr="009B5B67">
                    <w:rPr>
                      <w:rFonts w:cstheme="majorHAnsi"/>
                      <w:lang w:val="en-GB"/>
                    </w:rPr>
                    <w:t>3 °C</w:t>
                  </w:r>
                </w:p>
              </w:tc>
              <w:tc>
                <w:tcPr>
                  <w:tcW w:w="2214" w:type="dxa"/>
                </w:tcPr>
                <w:p w14:paraId="4449C992" w14:textId="77777777" w:rsidR="00154255" w:rsidRPr="009B5B67" w:rsidRDefault="00154255" w:rsidP="00154255">
                  <w:pPr>
                    <w:jc w:val="center"/>
                    <w:rPr>
                      <w:rFonts w:cstheme="majorHAnsi"/>
                      <w:lang w:val="en-GB"/>
                    </w:rPr>
                  </w:pPr>
                  <w:r w:rsidRPr="009B5B67">
                    <w:rPr>
                      <w:rFonts w:cstheme="majorHAnsi"/>
                      <w:lang w:val="en-GB"/>
                    </w:rPr>
                    <w:t>59,107 (4.97%)</w:t>
                  </w:r>
                </w:p>
              </w:tc>
              <w:tc>
                <w:tcPr>
                  <w:tcW w:w="2377" w:type="dxa"/>
                </w:tcPr>
                <w:p w14:paraId="5DC6CEDD" w14:textId="77777777" w:rsidR="00154255" w:rsidRPr="009B5B67" w:rsidRDefault="00154255" w:rsidP="00154255">
                  <w:pPr>
                    <w:jc w:val="center"/>
                    <w:rPr>
                      <w:rFonts w:cstheme="majorHAnsi"/>
                      <w:lang w:val="en-GB"/>
                    </w:rPr>
                  </w:pPr>
                  <w:r w:rsidRPr="009B5B67">
                    <w:rPr>
                      <w:rFonts w:cstheme="majorHAnsi"/>
                      <w:lang w:val="en-GB"/>
                    </w:rPr>
                    <w:t>890,403 (11.65%)</w:t>
                  </w:r>
                </w:p>
              </w:tc>
            </w:tr>
            <w:tr w:rsidR="00154255" w:rsidRPr="009B5B67" w14:paraId="3F171998" w14:textId="77777777" w:rsidTr="00154255">
              <w:trPr>
                <w:jc w:val="center"/>
              </w:trPr>
              <w:tc>
                <w:tcPr>
                  <w:tcW w:w="2214" w:type="dxa"/>
                </w:tcPr>
                <w:p w14:paraId="676C0BAA" w14:textId="77777777" w:rsidR="00154255" w:rsidRPr="009B5B67" w:rsidRDefault="00154255" w:rsidP="00154255">
                  <w:pPr>
                    <w:jc w:val="center"/>
                    <w:rPr>
                      <w:rFonts w:cstheme="majorHAnsi"/>
                      <w:lang w:val="en-GB"/>
                    </w:rPr>
                  </w:pPr>
                  <w:r w:rsidRPr="009B5B67">
                    <w:rPr>
                      <w:rFonts w:cstheme="majorHAnsi"/>
                      <w:lang w:val="en-GB"/>
                    </w:rPr>
                    <w:t>4 °C</w:t>
                  </w:r>
                </w:p>
              </w:tc>
              <w:tc>
                <w:tcPr>
                  <w:tcW w:w="2214" w:type="dxa"/>
                </w:tcPr>
                <w:p w14:paraId="37086B8C" w14:textId="77777777" w:rsidR="00154255" w:rsidRPr="009B5B67" w:rsidRDefault="00154255" w:rsidP="00154255">
                  <w:pPr>
                    <w:jc w:val="center"/>
                    <w:rPr>
                      <w:rFonts w:cstheme="majorHAnsi"/>
                      <w:lang w:val="en-GB"/>
                    </w:rPr>
                  </w:pPr>
                  <w:r w:rsidRPr="009B5B67">
                    <w:rPr>
                      <w:rFonts w:cstheme="majorHAnsi"/>
                      <w:lang w:val="en-GB"/>
                    </w:rPr>
                    <w:t>97,536 (6.87%)</w:t>
                  </w:r>
                </w:p>
              </w:tc>
              <w:tc>
                <w:tcPr>
                  <w:tcW w:w="2377" w:type="dxa"/>
                </w:tcPr>
                <w:p w14:paraId="5912BE30" w14:textId="77777777" w:rsidR="00154255" w:rsidRPr="009B5B67" w:rsidRDefault="00154255" w:rsidP="00154255">
                  <w:pPr>
                    <w:jc w:val="center"/>
                    <w:rPr>
                      <w:rFonts w:cstheme="majorHAnsi"/>
                      <w:lang w:val="en-GB"/>
                    </w:rPr>
                  </w:pPr>
                  <w:proofErr w:type="gramStart"/>
                  <w:r w:rsidRPr="009B5B67">
                    <w:rPr>
                      <w:rFonts w:cstheme="majorHAnsi"/>
                      <w:lang w:val="en-GB"/>
                    </w:rPr>
                    <w:t>2,002,410  (</w:t>
                  </w:r>
                  <w:proofErr w:type="gramEnd"/>
                  <w:r w:rsidRPr="009B5B67">
                    <w:rPr>
                      <w:rFonts w:cstheme="majorHAnsi"/>
                      <w:lang w:val="en-GB"/>
                    </w:rPr>
                    <w:t>17.06%)</w:t>
                  </w:r>
                </w:p>
              </w:tc>
            </w:tr>
          </w:tbl>
          <w:p w14:paraId="6E556F37" w14:textId="088A5463" w:rsidR="005208F5" w:rsidRPr="009B5B67" w:rsidRDefault="005208F5" w:rsidP="00662BF0">
            <w:pPr>
              <w:keepNext/>
              <w:keepLines/>
              <w:tabs>
                <w:tab w:val="left" w:pos="2402"/>
              </w:tabs>
              <w:spacing w:after="0"/>
              <w:rPr>
                <w:lang w:val="en-GB"/>
              </w:rPr>
            </w:pPr>
          </w:p>
        </w:tc>
      </w:tr>
      <w:tr w:rsidR="00503AE8" w:rsidRPr="00080666" w14:paraId="7FFE46FD" w14:textId="77777777" w:rsidTr="006C0393">
        <w:trPr>
          <w:trHeight w:val="20"/>
        </w:trPr>
        <w:tc>
          <w:tcPr>
            <w:tcW w:w="3686" w:type="dxa"/>
          </w:tcPr>
          <w:p w14:paraId="19749E62" w14:textId="77777777" w:rsidR="00503AE8" w:rsidRPr="009B5B67" w:rsidRDefault="00503AE8" w:rsidP="002B4331">
            <w:pPr>
              <w:keepLines/>
              <w:tabs>
                <w:tab w:val="left" w:pos="2401"/>
                <w:tab w:val="left" w:pos="2402"/>
              </w:tabs>
              <w:ind w:left="322" w:hanging="322"/>
              <w:rPr>
                <w:rFonts w:cstheme="minorHAnsi"/>
                <w:szCs w:val="20"/>
                <w:lang w:val="en-GB"/>
              </w:rPr>
            </w:pPr>
            <w:r w:rsidRPr="009B5B67">
              <w:rPr>
                <w:rFonts w:cstheme="minorHAnsi"/>
                <w:szCs w:val="20"/>
                <w:lang w:val="en-GB"/>
              </w:rPr>
              <w:t>(b</w:t>
            </w:r>
            <w:r w:rsidRPr="00DB6C7F">
              <w:rPr>
                <w:rFonts w:cstheme="minorHAnsi"/>
                <w:szCs w:val="20"/>
                <w:highlight w:val="yellow"/>
                <w:lang w:val="en-GB"/>
              </w:rPr>
              <w:t>) Fairness considerations, including reflecting on equity;</w:t>
            </w:r>
          </w:p>
        </w:tc>
        <w:tc>
          <w:tcPr>
            <w:tcW w:w="6379" w:type="dxa"/>
          </w:tcPr>
          <w:p w14:paraId="29ECE447" w14:textId="1894E752" w:rsidR="00503AE8" w:rsidRPr="009B5B67" w:rsidRDefault="00B479AB" w:rsidP="006E5F69">
            <w:pPr>
              <w:pStyle w:val="ListParagraph"/>
              <w:numPr>
                <w:ilvl w:val="0"/>
                <w:numId w:val="45"/>
              </w:numPr>
              <w:tabs>
                <w:tab w:val="left" w:pos="3825"/>
              </w:tabs>
              <w:overflowPunct w:val="0"/>
              <w:autoSpaceDE w:val="0"/>
              <w:autoSpaceDN w:val="0"/>
              <w:adjustRightInd w:val="0"/>
              <w:spacing w:before="120" w:after="0" w:line="240" w:lineRule="auto"/>
              <w:contextualSpacing w:val="0"/>
              <w:textAlignment w:val="baseline"/>
              <w:rPr>
                <w:szCs w:val="20"/>
                <w:lang w:val="en-GB"/>
              </w:rPr>
            </w:pPr>
            <w:r w:rsidRPr="00E24F41">
              <w:rPr>
                <w:szCs w:val="20"/>
                <w:lang w:val="en-GB"/>
              </w:rPr>
              <w:t>R</w:t>
            </w:r>
            <w:r w:rsidRPr="00E24F41">
              <w:rPr>
                <w:lang w:val="en-GB"/>
              </w:rPr>
              <w:t xml:space="preserve">efer to 6(a) </w:t>
            </w:r>
            <w:proofErr w:type="gramStart"/>
            <w:r w:rsidRPr="00E24F41">
              <w:rPr>
                <w:lang w:val="en-GB"/>
              </w:rPr>
              <w:t xml:space="preserve">above </w:t>
            </w:r>
            <w:r w:rsidR="00436FA7" w:rsidRPr="00E24F41">
              <w:rPr>
                <w:lang w:val="en-GB"/>
              </w:rPr>
              <w:t>;</w:t>
            </w:r>
            <w:proofErr w:type="gramEnd"/>
            <w:r w:rsidR="00436FA7" w:rsidRPr="00E24F41">
              <w:rPr>
                <w:lang w:val="en-GB"/>
              </w:rPr>
              <w:t xml:space="preserve"> all scenarios project certain job loss mainly due to the reduction of jobs in the sectors related to fossil fuels and, to a certain extent, in agriculture.</w:t>
            </w:r>
            <w:r w:rsidR="004043D4" w:rsidRPr="00E24F41">
              <w:rPr>
                <w:lang w:val="en-GB"/>
              </w:rPr>
              <w:t xml:space="preserve"> </w:t>
            </w:r>
            <w:r w:rsidR="006E5F69">
              <w:rPr>
                <w:lang w:val="en-GB"/>
              </w:rPr>
              <w:t xml:space="preserve">Serbia plans to </w:t>
            </w:r>
            <w:r w:rsidR="004043D4" w:rsidRPr="00E24F41">
              <w:rPr>
                <w:lang w:val="en-GB"/>
              </w:rPr>
              <w:t xml:space="preserve">promote skill formation and reallocation of labour </w:t>
            </w:r>
            <w:proofErr w:type="gramStart"/>
            <w:r w:rsidR="004043D4" w:rsidRPr="00E24F41">
              <w:rPr>
                <w:lang w:val="en-GB"/>
              </w:rPr>
              <w:t>in order to</w:t>
            </w:r>
            <w:proofErr w:type="gramEnd"/>
            <w:r w:rsidR="004043D4" w:rsidRPr="00E24F41">
              <w:rPr>
                <w:lang w:val="en-GB"/>
              </w:rPr>
              <w:t xml:space="preserve"> contribute to the fairness of the effort to reduce emission across the economy and </w:t>
            </w:r>
            <w:r w:rsidR="004043D4" w:rsidRPr="00E24F41">
              <w:rPr>
                <w:lang w:val="en-GB"/>
              </w:rPr>
              <w:lastRenderedPageBreak/>
              <w:t>the society, in particular in regions most affected by the transition of jobs, in close coordination with the social partners</w:t>
            </w:r>
            <w:r w:rsidR="006E5F69">
              <w:rPr>
                <w:lang w:val="en-GB"/>
              </w:rPr>
              <w:t>.</w:t>
            </w:r>
            <w:r w:rsidR="00436FA7">
              <w:rPr>
                <w:lang w:val="en-GB"/>
              </w:rPr>
              <w:t xml:space="preserve"> </w:t>
            </w:r>
          </w:p>
        </w:tc>
      </w:tr>
      <w:tr w:rsidR="00503AE8" w:rsidRPr="00080666" w14:paraId="121CE6F9" w14:textId="77777777" w:rsidTr="006C0393">
        <w:trPr>
          <w:trHeight w:val="20"/>
        </w:trPr>
        <w:tc>
          <w:tcPr>
            <w:tcW w:w="3686" w:type="dxa"/>
          </w:tcPr>
          <w:p w14:paraId="58F657E3" w14:textId="77777777" w:rsidR="00503AE8" w:rsidRPr="009B5B67" w:rsidRDefault="00503AE8" w:rsidP="00345640">
            <w:pPr>
              <w:tabs>
                <w:tab w:val="left" w:pos="2401"/>
                <w:tab w:val="left" w:pos="2402"/>
              </w:tabs>
              <w:spacing w:after="0"/>
              <w:ind w:left="322" w:hanging="322"/>
              <w:rPr>
                <w:rFonts w:cstheme="minorHAnsi"/>
                <w:szCs w:val="20"/>
                <w:lang w:val="en-GB"/>
              </w:rPr>
            </w:pPr>
            <w:r w:rsidRPr="009B5B67">
              <w:rPr>
                <w:rFonts w:cstheme="minorHAnsi"/>
                <w:szCs w:val="20"/>
                <w:lang w:val="en-GB"/>
              </w:rPr>
              <w:lastRenderedPageBreak/>
              <w:t>(c) How the Party has addressed Article 4, paragraph 3, of the Paris Agreement;</w:t>
            </w:r>
          </w:p>
        </w:tc>
        <w:tc>
          <w:tcPr>
            <w:tcW w:w="6379" w:type="dxa"/>
          </w:tcPr>
          <w:p w14:paraId="7D968297" w14:textId="77777777" w:rsidR="00503AE8" w:rsidRPr="009B5B67" w:rsidRDefault="00503AE8" w:rsidP="00345640">
            <w:pPr>
              <w:tabs>
                <w:tab w:val="left" w:pos="2402"/>
              </w:tabs>
              <w:spacing w:after="0"/>
              <w:rPr>
                <w:szCs w:val="20"/>
                <w:lang w:val="en-GB"/>
              </w:rPr>
            </w:pPr>
            <w:r w:rsidRPr="009B5B67">
              <w:rPr>
                <w:szCs w:val="20"/>
                <w:lang w:val="en-GB"/>
              </w:rPr>
              <w:t xml:space="preserve">The presented contribution represents a clear progression beyond the current NDC and reflects the highest possible ambition under consideration of the national circumstances. </w:t>
            </w:r>
          </w:p>
        </w:tc>
      </w:tr>
      <w:tr w:rsidR="00503AE8" w:rsidRPr="00080666" w14:paraId="6630DF10" w14:textId="77777777" w:rsidTr="006C0393">
        <w:trPr>
          <w:trHeight w:val="20"/>
        </w:trPr>
        <w:tc>
          <w:tcPr>
            <w:tcW w:w="3686" w:type="dxa"/>
          </w:tcPr>
          <w:p w14:paraId="79D5ABB4" w14:textId="77777777" w:rsidR="00503AE8" w:rsidRPr="009B5B67" w:rsidRDefault="00503AE8" w:rsidP="00345640">
            <w:pPr>
              <w:tabs>
                <w:tab w:val="left" w:pos="2401"/>
                <w:tab w:val="left" w:pos="2402"/>
              </w:tabs>
              <w:spacing w:after="0"/>
              <w:ind w:left="322" w:hanging="322"/>
              <w:rPr>
                <w:rFonts w:cstheme="minorHAnsi"/>
                <w:szCs w:val="20"/>
                <w:lang w:val="en-GB"/>
              </w:rPr>
            </w:pPr>
            <w:r w:rsidRPr="009B5B67">
              <w:rPr>
                <w:rFonts w:cstheme="minorHAnsi"/>
                <w:szCs w:val="20"/>
                <w:lang w:val="en-GB"/>
              </w:rPr>
              <w:t>(d) How the Party has addressed Article 4, paragraph 4, of the Paris Agreement;</w:t>
            </w:r>
          </w:p>
        </w:tc>
        <w:tc>
          <w:tcPr>
            <w:tcW w:w="6379" w:type="dxa"/>
          </w:tcPr>
          <w:p w14:paraId="15292303" w14:textId="77777777" w:rsidR="00503AE8" w:rsidRPr="009B5B67" w:rsidRDefault="00503AE8" w:rsidP="00F34075">
            <w:pPr>
              <w:rPr>
                <w:strike/>
                <w:szCs w:val="20"/>
                <w:lang w:val="en-GB"/>
              </w:rPr>
            </w:pPr>
            <w:r w:rsidRPr="009B5B67">
              <w:rPr>
                <w:szCs w:val="20"/>
                <w:lang w:val="en-GB"/>
              </w:rPr>
              <w:t xml:space="preserve">Serbia is a developing </w:t>
            </w:r>
            <w:r w:rsidR="00F34075" w:rsidRPr="009B5B67">
              <w:rPr>
                <w:szCs w:val="20"/>
                <w:lang w:val="en-GB"/>
              </w:rPr>
              <w:t>P</w:t>
            </w:r>
            <w:r w:rsidRPr="009B5B67">
              <w:rPr>
                <w:szCs w:val="20"/>
                <w:lang w:val="en-GB"/>
              </w:rPr>
              <w:t>arty and has hereby enhanced its NDC, which represents an economy wide reduction target.</w:t>
            </w:r>
            <w:r w:rsidR="007E70A9" w:rsidRPr="009B5B67">
              <w:rPr>
                <w:strike/>
                <w:szCs w:val="20"/>
                <w:lang w:val="en-GB"/>
              </w:rPr>
              <w:t xml:space="preserve"> </w:t>
            </w:r>
          </w:p>
        </w:tc>
      </w:tr>
      <w:tr w:rsidR="00503AE8" w:rsidRPr="009B5B67" w14:paraId="2EB41B90" w14:textId="77777777" w:rsidTr="006C0393">
        <w:trPr>
          <w:trHeight w:val="20"/>
        </w:trPr>
        <w:tc>
          <w:tcPr>
            <w:tcW w:w="3686" w:type="dxa"/>
          </w:tcPr>
          <w:p w14:paraId="7BEA52C2" w14:textId="77777777" w:rsidR="00503AE8" w:rsidRPr="009B5B67" w:rsidRDefault="00503AE8" w:rsidP="00345640">
            <w:pPr>
              <w:tabs>
                <w:tab w:val="left" w:pos="2401"/>
                <w:tab w:val="left" w:pos="2402"/>
              </w:tabs>
              <w:spacing w:after="0"/>
              <w:ind w:left="322" w:hanging="322"/>
              <w:rPr>
                <w:rFonts w:cstheme="minorHAnsi"/>
                <w:szCs w:val="20"/>
                <w:lang w:val="en-GB"/>
              </w:rPr>
            </w:pPr>
            <w:r w:rsidRPr="009B5B67">
              <w:rPr>
                <w:rFonts w:cstheme="minorHAnsi"/>
                <w:szCs w:val="20"/>
                <w:lang w:val="en-GB"/>
              </w:rPr>
              <w:t>(e) How the Party has addressed Article 4, paragraph 6, of the Paris Agreement.</w:t>
            </w:r>
          </w:p>
        </w:tc>
        <w:tc>
          <w:tcPr>
            <w:tcW w:w="6379" w:type="dxa"/>
          </w:tcPr>
          <w:p w14:paraId="6775D688" w14:textId="77777777" w:rsidR="00503AE8" w:rsidRPr="009B5B67" w:rsidRDefault="00503AE8" w:rsidP="00503AE8">
            <w:pPr>
              <w:rPr>
                <w:rFonts w:cstheme="minorHAnsi"/>
                <w:szCs w:val="20"/>
                <w:lang w:val="en-GB"/>
              </w:rPr>
            </w:pPr>
            <w:r w:rsidRPr="009B5B67">
              <w:rPr>
                <w:rFonts w:cstheme="minorHAnsi"/>
                <w:szCs w:val="20"/>
                <w:lang w:val="en-GB"/>
              </w:rPr>
              <w:t>Not applicable</w:t>
            </w:r>
          </w:p>
        </w:tc>
      </w:tr>
    </w:tbl>
    <w:p w14:paraId="4E923C54" w14:textId="77777777" w:rsidR="00345640" w:rsidRPr="009B5B67" w:rsidRDefault="00345640">
      <w:pPr>
        <w:rPr>
          <w:lang w:val="en-GB"/>
        </w:rPr>
      </w:pPr>
    </w:p>
    <w:tbl>
      <w:tblPr>
        <w:tblStyle w:val="TableGrid"/>
        <w:tblW w:w="10065" w:type="dxa"/>
        <w:tblInd w:w="-5" w:type="dxa"/>
        <w:tblCellMar>
          <w:top w:w="108" w:type="dxa"/>
          <w:bottom w:w="108" w:type="dxa"/>
        </w:tblCellMar>
        <w:tblLook w:val="04A0" w:firstRow="1" w:lastRow="0" w:firstColumn="1" w:lastColumn="0" w:noHBand="0" w:noVBand="1"/>
      </w:tblPr>
      <w:tblGrid>
        <w:gridCol w:w="3686"/>
        <w:gridCol w:w="6379"/>
      </w:tblGrid>
      <w:tr w:rsidR="00503AE8" w:rsidRPr="00080666" w14:paraId="23DECEB3" w14:textId="77777777" w:rsidTr="006C0393">
        <w:trPr>
          <w:trHeight w:val="20"/>
        </w:trPr>
        <w:tc>
          <w:tcPr>
            <w:tcW w:w="10065" w:type="dxa"/>
            <w:gridSpan w:val="2"/>
            <w:shd w:val="clear" w:color="auto" w:fill="D9E2F3" w:themeFill="accent1" w:themeFillTint="33"/>
          </w:tcPr>
          <w:p w14:paraId="5B213443" w14:textId="77777777" w:rsidR="00503AE8" w:rsidRPr="009B5B67" w:rsidRDefault="00503AE8" w:rsidP="00F34075">
            <w:pPr>
              <w:pStyle w:val="Heading6"/>
              <w:spacing w:after="0"/>
              <w:rPr>
                <w:lang w:val="en-GB"/>
              </w:rPr>
            </w:pPr>
            <w:bookmarkStart w:id="25" w:name="_Toc56411150"/>
            <w:r w:rsidRPr="009B5B67">
              <w:rPr>
                <w:lang w:val="en-GB"/>
              </w:rPr>
              <w:t xml:space="preserve">7. How the nationally determined contribution contributes towards achieving the objective of the Convention as set out in its </w:t>
            </w:r>
            <w:proofErr w:type="gramStart"/>
            <w:r w:rsidRPr="009B5B67">
              <w:rPr>
                <w:lang w:val="en-GB"/>
              </w:rPr>
              <w:t>Article</w:t>
            </w:r>
            <w:proofErr w:type="gramEnd"/>
            <w:r w:rsidRPr="009B5B67">
              <w:rPr>
                <w:lang w:val="en-GB"/>
              </w:rPr>
              <w:t xml:space="preserve"> 2:</w:t>
            </w:r>
            <w:bookmarkEnd w:id="25"/>
          </w:p>
        </w:tc>
      </w:tr>
      <w:tr w:rsidR="00503AE8" w:rsidRPr="00080666" w14:paraId="5AC45623" w14:textId="77777777" w:rsidTr="006C0393">
        <w:trPr>
          <w:trHeight w:val="20"/>
        </w:trPr>
        <w:tc>
          <w:tcPr>
            <w:tcW w:w="3686" w:type="dxa"/>
          </w:tcPr>
          <w:p w14:paraId="35AC7322" w14:textId="77777777" w:rsidR="00503AE8" w:rsidRPr="009B5B67" w:rsidRDefault="00503AE8" w:rsidP="00345640">
            <w:pPr>
              <w:tabs>
                <w:tab w:val="left" w:pos="2401"/>
                <w:tab w:val="left" w:pos="2402"/>
              </w:tabs>
              <w:spacing w:after="0"/>
              <w:ind w:left="322" w:hanging="322"/>
              <w:rPr>
                <w:rFonts w:cstheme="minorHAnsi"/>
                <w:szCs w:val="20"/>
                <w:lang w:val="en-GB"/>
              </w:rPr>
            </w:pPr>
            <w:r w:rsidRPr="009B5B67">
              <w:rPr>
                <w:rFonts w:cstheme="minorHAnsi"/>
                <w:szCs w:val="20"/>
                <w:lang w:val="en-GB"/>
              </w:rPr>
              <w:t xml:space="preserve">(a) How the nationally determined contribution contributes towards achieving the objective of the Convention as set out in its </w:t>
            </w:r>
            <w:proofErr w:type="gramStart"/>
            <w:r w:rsidRPr="009B5B67">
              <w:rPr>
                <w:rFonts w:cstheme="minorHAnsi"/>
                <w:szCs w:val="20"/>
                <w:lang w:val="en-GB"/>
              </w:rPr>
              <w:t>Article</w:t>
            </w:r>
            <w:proofErr w:type="gramEnd"/>
            <w:r w:rsidRPr="009B5B67">
              <w:rPr>
                <w:rFonts w:cstheme="minorHAnsi"/>
                <w:szCs w:val="20"/>
                <w:lang w:val="en-GB"/>
              </w:rPr>
              <w:t xml:space="preserve"> 2;</w:t>
            </w:r>
          </w:p>
        </w:tc>
        <w:tc>
          <w:tcPr>
            <w:tcW w:w="6379" w:type="dxa"/>
          </w:tcPr>
          <w:p w14:paraId="33C9AB7B" w14:textId="3253BA87" w:rsidR="00503AE8" w:rsidRPr="009B5B67" w:rsidRDefault="00503AE8" w:rsidP="00C817C8">
            <w:pPr>
              <w:spacing w:after="0"/>
              <w:rPr>
                <w:rFonts w:cstheme="minorHAnsi"/>
                <w:szCs w:val="20"/>
                <w:lang w:val="en-GB"/>
              </w:rPr>
            </w:pPr>
            <w:r w:rsidRPr="009B5B67">
              <w:rPr>
                <w:rFonts w:cstheme="minorHAnsi"/>
                <w:szCs w:val="20"/>
                <w:lang w:val="en-GB"/>
              </w:rPr>
              <w:t xml:space="preserve">Even though </w:t>
            </w:r>
            <w:r w:rsidR="00ED793F" w:rsidRPr="009B5B67">
              <w:rPr>
                <w:rFonts w:cstheme="minorHAnsi"/>
                <w:szCs w:val="20"/>
                <w:lang w:val="en-GB"/>
              </w:rPr>
              <w:t xml:space="preserve">the </w:t>
            </w:r>
            <w:r w:rsidRPr="009B5B67">
              <w:rPr>
                <w:rFonts w:cstheme="minorHAnsi"/>
                <w:szCs w:val="20"/>
                <w:lang w:val="en-GB"/>
              </w:rPr>
              <w:t xml:space="preserve">Republic of Serbia is a non-Annex I Party to the UNFCCC vulnerable to climate change, significant increase of ambition in the </w:t>
            </w:r>
            <w:r w:rsidR="00C817C8" w:rsidRPr="009B5B67">
              <w:rPr>
                <w:rFonts w:cstheme="minorHAnsi"/>
                <w:szCs w:val="20"/>
                <w:lang w:val="en-GB"/>
              </w:rPr>
              <w:t xml:space="preserve">updated </w:t>
            </w:r>
            <w:r w:rsidRPr="009B5B67">
              <w:rPr>
                <w:rFonts w:cstheme="minorHAnsi"/>
                <w:szCs w:val="20"/>
                <w:lang w:val="en-GB"/>
              </w:rPr>
              <w:t>NDC contributes to achievement of the objective of the Convention, namely stabilization of GHG concentration in the atmosphere.</w:t>
            </w:r>
          </w:p>
        </w:tc>
      </w:tr>
      <w:tr w:rsidR="00503AE8" w:rsidRPr="00080666" w14:paraId="02508F7E" w14:textId="77777777" w:rsidTr="006C0393">
        <w:trPr>
          <w:trHeight w:val="20"/>
        </w:trPr>
        <w:tc>
          <w:tcPr>
            <w:tcW w:w="3686" w:type="dxa"/>
          </w:tcPr>
          <w:p w14:paraId="39296F5B" w14:textId="77777777" w:rsidR="00503AE8" w:rsidRPr="009B5B67" w:rsidRDefault="00503AE8" w:rsidP="00345640">
            <w:pPr>
              <w:tabs>
                <w:tab w:val="left" w:pos="2401"/>
                <w:tab w:val="left" w:pos="2402"/>
              </w:tabs>
              <w:spacing w:after="0"/>
              <w:ind w:left="322" w:hanging="322"/>
              <w:rPr>
                <w:rFonts w:cstheme="minorHAnsi"/>
                <w:szCs w:val="20"/>
                <w:lang w:val="en-GB"/>
              </w:rPr>
            </w:pPr>
            <w:r w:rsidRPr="009B5B67">
              <w:rPr>
                <w:rFonts w:cstheme="minorHAnsi"/>
                <w:szCs w:val="20"/>
                <w:lang w:val="en-GB"/>
              </w:rPr>
              <w:t>(b) How the nationally determined contribution contributes towards Article 2, paragraph 1(a), and Article 4, paragraph 1, of the Paris Agreement.</w:t>
            </w:r>
          </w:p>
        </w:tc>
        <w:tc>
          <w:tcPr>
            <w:tcW w:w="6379" w:type="dxa"/>
          </w:tcPr>
          <w:p w14:paraId="05A1CC74" w14:textId="77777777" w:rsidR="00503AE8" w:rsidRPr="009B5B67" w:rsidRDefault="00503AE8" w:rsidP="00503AE8">
            <w:pPr>
              <w:rPr>
                <w:szCs w:val="20"/>
                <w:lang w:val="en-GB"/>
              </w:rPr>
            </w:pPr>
            <w:r w:rsidRPr="009B5B67">
              <w:rPr>
                <w:szCs w:val="20"/>
                <w:lang w:val="en-GB"/>
              </w:rPr>
              <w:t xml:space="preserve">See </w:t>
            </w:r>
            <w:r w:rsidR="00F34075" w:rsidRPr="009B5B67">
              <w:rPr>
                <w:szCs w:val="20"/>
                <w:lang w:val="en-GB"/>
              </w:rPr>
              <w:t xml:space="preserve">here </w:t>
            </w:r>
            <w:r w:rsidRPr="009B5B67">
              <w:rPr>
                <w:szCs w:val="20"/>
                <w:lang w:val="en-GB"/>
              </w:rPr>
              <w:t>7(a)</w:t>
            </w:r>
            <w:r w:rsidR="00F34075" w:rsidRPr="009B5B67">
              <w:rPr>
                <w:szCs w:val="20"/>
                <w:lang w:val="en-GB"/>
              </w:rPr>
              <w:t xml:space="preserve"> above</w:t>
            </w:r>
          </w:p>
          <w:p w14:paraId="2B2D422D" w14:textId="77777777" w:rsidR="00503AE8" w:rsidRPr="009B5B67" w:rsidRDefault="00503AE8" w:rsidP="00345640">
            <w:pPr>
              <w:spacing w:after="0"/>
              <w:rPr>
                <w:rFonts w:cstheme="minorHAnsi"/>
                <w:szCs w:val="20"/>
                <w:lang w:val="en-GB"/>
              </w:rPr>
            </w:pPr>
            <w:proofErr w:type="gramStart"/>
            <w:r w:rsidRPr="009B5B67">
              <w:rPr>
                <w:rFonts w:cstheme="minorHAnsi"/>
                <w:szCs w:val="20"/>
                <w:lang w:val="en-GB"/>
              </w:rPr>
              <w:t>In particular, it</w:t>
            </w:r>
            <w:proofErr w:type="gramEnd"/>
            <w:r w:rsidRPr="009B5B67">
              <w:rPr>
                <w:rFonts w:cstheme="minorHAnsi"/>
                <w:szCs w:val="20"/>
                <w:lang w:val="en-GB"/>
              </w:rPr>
              <w:t xml:space="preserve"> should be noted that Serbia is ready for additional/</w:t>
            </w:r>
            <w:r w:rsidR="00680823" w:rsidRPr="009B5B67">
              <w:rPr>
                <w:rFonts w:cstheme="minorHAnsi"/>
                <w:szCs w:val="20"/>
                <w:lang w:val="en-GB"/>
              </w:rPr>
              <w:t xml:space="preserve"> </w:t>
            </w:r>
            <w:r w:rsidRPr="009B5B67">
              <w:rPr>
                <w:rFonts w:cstheme="minorHAnsi"/>
                <w:szCs w:val="20"/>
                <w:lang w:val="en-GB"/>
              </w:rPr>
              <w:t>conditional ambition with financial, technical and capacity building assistance.</w:t>
            </w:r>
          </w:p>
        </w:tc>
      </w:tr>
    </w:tbl>
    <w:p w14:paraId="679D91C3" w14:textId="77777777" w:rsidR="00503AE8" w:rsidRPr="009B5B67" w:rsidRDefault="00503AE8" w:rsidP="00503AE8">
      <w:pPr>
        <w:spacing w:line="249" w:lineRule="auto"/>
        <w:rPr>
          <w:rFonts w:cstheme="minorHAnsi"/>
          <w:szCs w:val="20"/>
          <w:lang w:val="en-GB"/>
        </w:rPr>
      </w:pPr>
    </w:p>
    <w:p w14:paraId="22EDE080" w14:textId="77777777" w:rsidR="00503AE8" w:rsidRPr="009B5B67" w:rsidRDefault="00503AE8" w:rsidP="00503AE8">
      <w:pPr>
        <w:spacing w:line="249" w:lineRule="auto"/>
        <w:rPr>
          <w:rFonts w:cstheme="minorHAnsi"/>
          <w:szCs w:val="20"/>
          <w:lang w:val="en-GB"/>
        </w:rPr>
      </w:pPr>
    </w:p>
    <w:p w14:paraId="1ACA663E" w14:textId="77777777" w:rsidR="007B2815" w:rsidRPr="009B5B67" w:rsidRDefault="007B2815" w:rsidP="00503AE8">
      <w:pPr>
        <w:spacing w:line="249" w:lineRule="auto"/>
        <w:rPr>
          <w:rFonts w:cstheme="minorHAnsi"/>
          <w:szCs w:val="20"/>
          <w:lang w:val="en-GB"/>
        </w:rPr>
        <w:sectPr w:rsidR="007B2815" w:rsidRPr="009B5B67" w:rsidSect="00195CF2">
          <w:headerReference w:type="default" r:id="rId22"/>
          <w:footerReference w:type="default" r:id="rId23"/>
          <w:footerReference w:type="first" r:id="rId24"/>
          <w:pgSz w:w="11910" w:h="16840"/>
          <w:pgMar w:top="1418" w:right="981" w:bottom="1418" w:left="998" w:header="890" w:footer="561" w:gutter="0"/>
          <w:cols w:space="720"/>
          <w:docGrid w:linePitch="299"/>
        </w:sectPr>
      </w:pPr>
    </w:p>
    <w:p w14:paraId="3383E867" w14:textId="7F4C9839" w:rsidR="00334E81" w:rsidRPr="009B5B67" w:rsidRDefault="00125F75" w:rsidP="00334E81">
      <w:pPr>
        <w:widowControl w:val="0"/>
        <w:autoSpaceDE w:val="0"/>
        <w:autoSpaceDN w:val="0"/>
        <w:spacing w:after="0"/>
        <w:jc w:val="center"/>
        <w:outlineLvl w:val="0"/>
        <w:rPr>
          <w:rFonts w:eastAsiaTheme="majorEastAsia" w:cstheme="majorBidi"/>
          <w:b/>
          <w:color w:val="2F5496" w:themeColor="accent1" w:themeShade="BF"/>
          <w:sz w:val="32"/>
          <w:szCs w:val="32"/>
          <w:lang w:val="en-GB"/>
        </w:rPr>
      </w:pPr>
      <w:bookmarkStart w:id="26" w:name="_Toc56411143"/>
      <w:bookmarkStart w:id="27" w:name="_Toc56439375"/>
      <w:bookmarkStart w:id="28" w:name="_Toc524355655"/>
      <w:bookmarkStart w:id="29" w:name="_Ref524425785"/>
      <w:bookmarkStart w:id="30" w:name="_Ref524425798"/>
      <w:bookmarkStart w:id="31" w:name="_Ref524425802"/>
      <w:bookmarkStart w:id="32" w:name="_Ref524425806"/>
      <w:bookmarkStart w:id="33" w:name="_Ref524425868"/>
      <w:bookmarkStart w:id="34" w:name="_Ref524425887"/>
      <w:bookmarkStart w:id="35" w:name="_Toc526940861"/>
      <w:bookmarkStart w:id="36" w:name="_Toc536718379"/>
      <w:bookmarkStart w:id="37" w:name="_Ref55943823"/>
      <w:bookmarkStart w:id="38" w:name="_Toc56411212"/>
      <w:bookmarkStart w:id="39" w:name="_Toc56439376"/>
      <w:bookmarkStart w:id="40" w:name="_Toc56411151"/>
      <w:r w:rsidRPr="009B5B67">
        <w:rPr>
          <w:rFonts w:eastAsiaTheme="majorEastAsia" w:cstheme="majorBidi"/>
          <w:b/>
          <w:color w:val="2F5496" w:themeColor="accent1" w:themeShade="BF"/>
          <w:sz w:val="32"/>
          <w:szCs w:val="32"/>
          <w:lang w:val="en-GB"/>
        </w:rPr>
        <w:lastRenderedPageBreak/>
        <w:t xml:space="preserve">ANNEXES: </w:t>
      </w:r>
      <w:r w:rsidR="00334E81" w:rsidRPr="009B5B67">
        <w:rPr>
          <w:rFonts w:eastAsiaTheme="majorEastAsia" w:cstheme="majorBidi"/>
          <w:b/>
          <w:color w:val="2F5496" w:themeColor="accent1" w:themeShade="BF"/>
          <w:sz w:val="32"/>
          <w:szCs w:val="32"/>
          <w:lang w:val="en-GB"/>
        </w:rPr>
        <w:t>Further information necessary for clarity, transparency and understanding (ICTU) of the Nationally Determined Contribution (NDC)</w:t>
      </w:r>
      <w:bookmarkEnd w:id="26"/>
      <w:bookmarkEnd w:id="27"/>
    </w:p>
    <w:p w14:paraId="02EA5DFE" w14:textId="77777777" w:rsidR="00334E81" w:rsidRPr="009B5B67" w:rsidRDefault="00334E81" w:rsidP="00A44E1C">
      <w:pPr>
        <w:pStyle w:val="Heading1"/>
        <w:keepNext w:val="0"/>
        <w:keepLines w:val="0"/>
        <w:widowControl w:val="0"/>
        <w:numPr>
          <w:ilvl w:val="0"/>
          <w:numId w:val="0"/>
        </w:numPr>
        <w:tabs>
          <w:tab w:val="left" w:pos="426"/>
        </w:tabs>
        <w:autoSpaceDE w:val="0"/>
        <w:autoSpaceDN w:val="0"/>
        <w:spacing w:before="0" w:after="0"/>
        <w:ind w:left="432" w:hanging="432"/>
        <w:jc w:val="left"/>
        <w:rPr>
          <w:lang w:val="en-GB" w:eastAsia="sr-Latn-RS"/>
        </w:rPr>
      </w:pPr>
    </w:p>
    <w:p w14:paraId="1B31DE26" w14:textId="08FAC774" w:rsidR="00125F75" w:rsidRPr="009B5B67" w:rsidRDefault="00125F75" w:rsidP="00A95F83">
      <w:pPr>
        <w:pStyle w:val="Heading1"/>
        <w:keepNext w:val="0"/>
        <w:keepLines w:val="0"/>
        <w:widowControl w:val="0"/>
        <w:numPr>
          <w:ilvl w:val="0"/>
          <w:numId w:val="0"/>
        </w:numPr>
        <w:tabs>
          <w:tab w:val="left" w:pos="0"/>
        </w:tabs>
        <w:autoSpaceDE w:val="0"/>
        <w:autoSpaceDN w:val="0"/>
        <w:spacing w:before="0" w:after="0"/>
        <w:rPr>
          <w:b w:val="0"/>
          <w:color w:val="auto"/>
          <w:sz w:val="20"/>
          <w:szCs w:val="20"/>
          <w:lang w:val="en-GB" w:eastAsia="sr-Latn-RS"/>
        </w:rPr>
      </w:pPr>
      <w:r w:rsidRPr="009B5B67">
        <w:rPr>
          <w:b w:val="0"/>
          <w:color w:val="auto"/>
          <w:sz w:val="20"/>
          <w:szCs w:val="20"/>
          <w:lang w:val="en-GB" w:eastAsia="sr-Latn-RS"/>
        </w:rPr>
        <w:t>Information in Annexes provide information and data that ensures clarity, transparency and</w:t>
      </w:r>
      <w:r w:rsidR="00451575" w:rsidRPr="009B5B67">
        <w:rPr>
          <w:b w:val="0"/>
          <w:color w:val="auto"/>
          <w:sz w:val="20"/>
          <w:szCs w:val="20"/>
          <w:lang w:val="en-GB" w:eastAsia="sr-Latn-RS"/>
        </w:rPr>
        <w:t xml:space="preserve"> understanding of those </w:t>
      </w:r>
      <w:r w:rsidR="00B04F17" w:rsidRPr="009B5B67">
        <w:rPr>
          <w:b w:val="0"/>
          <w:color w:val="auto"/>
          <w:sz w:val="20"/>
          <w:szCs w:val="20"/>
          <w:lang w:val="en-GB" w:eastAsia="sr-Latn-RS"/>
        </w:rPr>
        <w:t xml:space="preserve">already </w:t>
      </w:r>
      <w:r w:rsidR="00451575" w:rsidRPr="009B5B67">
        <w:rPr>
          <w:b w:val="0"/>
          <w:color w:val="auto"/>
          <w:sz w:val="20"/>
          <w:szCs w:val="20"/>
          <w:lang w:val="en-GB" w:eastAsia="sr-Latn-RS"/>
        </w:rPr>
        <w:t>provided in previously presented updated NDC. I</w:t>
      </w:r>
      <w:r w:rsidR="00B04F17" w:rsidRPr="009B5B67">
        <w:rPr>
          <w:b w:val="0"/>
          <w:color w:val="auto"/>
          <w:sz w:val="20"/>
          <w:szCs w:val="20"/>
          <w:lang w:val="en-GB" w:eastAsia="sr-Latn-RS"/>
        </w:rPr>
        <w:t xml:space="preserve">t is not </w:t>
      </w:r>
      <w:r w:rsidR="00EE5DEE" w:rsidRPr="009B5B67">
        <w:rPr>
          <w:b w:val="0"/>
          <w:color w:val="auto"/>
          <w:sz w:val="20"/>
          <w:szCs w:val="20"/>
          <w:lang w:val="en-GB" w:eastAsia="sr-Latn-RS"/>
        </w:rPr>
        <w:t>recommended to submit all those</w:t>
      </w:r>
      <w:r w:rsidR="00B04F17" w:rsidRPr="009B5B67">
        <w:rPr>
          <w:b w:val="0"/>
          <w:color w:val="auto"/>
          <w:sz w:val="20"/>
          <w:szCs w:val="20"/>
          <w:lang w:val="en-GB" w:eastAsia="sr-Latn-RS"/>
        </w:rPr>
        <w:t xml:space="preserve"> to the UNFCCC</w:t>
      </w:r>
      <w:r w:rsidR="00EE5DEE" w:rsidRPr="009B5B67">
        <w:rPr>
          <w:b w:val="0"/>
          <w:color w:val="auto"/>
          <w:sz w:val="20"/>
          <w:szCs w:val="20"/>
          <w:lang w:val="en-GB" w:eastAsia="sr-Latn-RS"/>
        </w:rPr>
        <w:t xml:space="preserve">. However, </w:t>
      </w:r>
      <w:proofErr w:type="gramStart"/>
      <w:r w:rsidR="00EE5DEE" w:rsidRPr="009B5B67">
        <w:rPr>
          <w:b w:val="0"/>
          <w:color w:val="auto"/>
          <w:sz w:val="20"/>
          <w:szCs w:val="20"/>
          <w:lang w:val="en-GB" w:eastAsia="sr-Latn-RS"/>
        </w:rPr>
        <w:t>in order to</w:t>
      </w:r>
      <w:proofErr w:type="gramEnd"/>
      <w:r w:rsidR="00EE5DEE" w:rsidRPr="009B5B67">
        <w:rPr>
          <w:b w:val="0"/>
          <w:color w:val="auto"/>
          <w:sz w:val="20"/>
          <w:szCs w:val="20"/>
          <w:lang w:val="en-GB" w:eastAsia="sr-Latn-RS"/>
        </w:rPr>
        <w:t xml:space="preserve"> keep all information publicly available and to continue transparency of </w:t>
      </w:r>
      <w:r w:rsidR="00A95F83" w:rsidRPr="009B5B67">
        <w:rPr>
          <w:b w:val="0"/>
          <w:color w:val="auto"/>
          <w:sz w:val="20"/>
          <w:szCs w:val="20"/>
          <w:lang w:val="en-GB" w:eastAsia="sr-Latn-RS"/>
        </w:rPr>
        <w:t>t</w:t>
      </w:r>
      <w:r w:rsidR="00EE5DEE" w:rsidRPr="009B5B67">
        <w:rPr>
          <w:b w:val="0"/>
          <w:color w:val="auto"/>
          <w:sz w:val="20"/>
          <w:szCs w:val="20"/>
          <w:lang w:val="en-GB" w:eastAsia="sr-Latn-RS"/>
        </w:rPr>
        <w:t>he process it is recommended to</w:t>
      </w:r>
      <w:r w:rsidR="00A95F83" w:rsidRPr="009B5B67">
        <w:rPr>
          <w:b w:val="0"/>
          <w:color w:val="auto"/>
          <w:sz w:val="20"/>
          <w:szCs w:val="20"/>
          <w:lang w:val="en-GB" w:eastAsia="sr-Latn-RS"/>
        </w:rPr>
        <w:t xml:space="preserve"> provide link for </w:t>
      </w:r>
      <w:r w:rsidR="00EE5DEE" w:rsidRPr="009B5B67">
        <w:rPr>
          <w:b w:val="0"/>
          <w:color w:val="auto"/>
          <w:sz w:val="20"/>
          <w:szCs w:val="20"/>
          <w:lang w:val="en-GB" w:eastAsia="sr-Latn-RS"/>
        </w:rPr>
        <w:t>found</w:t>
      </w:r>
      <w:r w:rsidR="00A95F83" w:rsidRPr="009B5B67">
        <w:rPr>
          <w:b w:val="0"/>
          <w:color w:val="auto"/>
          <w:sz w:val="20"/>
          <w:szCs w:val="20"/>
          <w:lang w:val="en-GB" w:eastAsia="sr-Latn-RS"/>
        </w:rPr>
        <w:t>ing that information</w:t>
      </w:r>
      <w:r w:rsidR="00EE5DEE" w:rsidRPr="009B5B67">
        <w:rPr>
          <w:b w:val="0"/>
          <w:color w:val="auto"/>
          <w:sz w:val="20"/>
          <w:szCs w:val="20"/>
          <w:lang w:val="en-GB" w:eastAsia="sr-Latn-RS"/>
        </w:rPr>
        <w:t xml:space="preserve"> (in MRV system). </w:t>
      </w:r>
      <w:proofErr w:type="gramStart"/>
      <w:r w:rsidR="00A95F83" w:rsidRPr="009B5B67">
        <w:rPr>
          <w:b w:val="0"/>
          <w:color w:val="auto"/>
          <w:sz w:val="20"/>
          <w:szCs w:val="20"/>
          <w:lang w:val="en-GB" w:eastAsia="sr-Latn-RS"/>
        </w:rPr>
        <w:t>Thus</w:t>
      </w:r>
      <w:proofErr w:type="gramEnd"/>
      <w:r w:rsidR="00A95F83" w:rsidRPr="009B5B67">
        <w:rPr>
          <w:b w:val="0"/>
          <w:color w:val="auto"/>
          <w:sz w:val="20"/>
          <w:szCs w:val="20"/>
          <w:lang w:val="en-GB" w:eastAsia="sr-Latn-RS"/>
        </w:rPr>
        <w:t xml:space="preserve"> content of annexes </w:t>
      </w:r>
      <w:r w:rsidR="004941A9" w:rsidRPr="009B5B67">
        <w:rPr>
          <w:b w:val="0"/>
          <w:color w:val="auto"/>
          <w:sz w:val="20"/>
          <w:szCs w:val="20"/>
          <w:lang w:val="en-GB" w:eastAsia="sr-Latn-RS"/>
        </w:rPr>
        <w:t xml:space="preserve">at the end is decision of the MEP. We recommend </w:t>
      </w:r>
      <w:proofErr w:type="gramStart"/>
      <w:r w:rsidR="004941A9" w:rsidRPr="009B5B67">
        <w:rPr>
          <w:b w:val="0"/>
          <w:color w:val="auto"/>
          <w:sz w:val="20"/>
          <w:szCs w:val="20"/>
          <w:lang w:val="en-GB" w:eastAsia="sr-Latn-RS"/>
        </w:rPr>
        <w:t>to keep</w:t>
      </w:r>
      <w:proofErr w:type="gramEnd"/>
      <w:r w:rsidR="004941A9" w:rsidRPr="009B5B67">
        <w:rPr>
          <w:b w:val="0"/>
          <w:color w:val="auto"/>
          <w:sz w:val="20"/>
          <w:szCs w:val="20"/>
          <w:lang w:val="en-GB" w:eastAsia="sr-Latn-RS"/>
        </w:rPr>
        <w:t xml:space="preserve"> it detailed. </w:t>
      </w:r>
    </w:p>
    <w:p w14:paraId="62C3F9F6" w14:textId="77777777" w:rsidR="00334E81" w:rsidRPr="009B5B67" w:rsidRDefault="00334E81" w:rsidP="00A44E1C">
      <w:pPr>
        <w:pStyle w:val="Heading1"/>
        <w:keepNext w:val="0"/>
        <w:keepLines w:val="0"/>
        <w:widowControl w:val="0"/>
        <w:numPr>
          <w:ilvl w:val="0"/>
          <w:numId w:val="0"/>
        </w:numPr>
        <w:tabs>
          <w:tab w:val="left" w:pos="426"/>
        </w:tabs>
        <w:autoSpaceDE w:val="0"/>
        <w:autoSpaceDN w:val="0"/>
        <w:spacing w:before="0" w:after="0"/>
        <w:ind w:left="432" w:hanging="432"/>
        <w:jc w:val="left"/>
        <w:rPr>
          <w:lang w:val="en-GB" w:eastAsia="sr-Latn-RS"/>
        </w:rPr>
      </w:pPr>
    </w:p>
    <w:p w14:paraId="61C126E6" w14:textId="42DAE65B" w:rsidR="0075181F" w:rsidRPr="009B5B67" w:rsidRDefault="00A44E1C" w:rsidP="00A44E1C">
      <w:pPr>
        <w:pStyle w:val="Heading1"/>
        <w:keepNext w:val="0"/>
        <w:keepLines w:val="0"/>
        <w:widowControl w:val="0"/>
        <w:numPr>
          <w:ilvl w:val="0"/>
          <w:numId w:val="0"/>
        </w:numPr>
        <w:tabs>
          <w:tab w:val="left" w:pos="426"/>
        </w:tabs>
        <w:autoSpaceDE w:val="0"/>
        <w:autoSpaceDN w:val="0"/>
        <w:spacing w:before="0" w:after="0"/>
        <w:ind w:left="432" w:hanging="432"/>
        <w:jc w:val="left"/>
        <w:rPr>
          <w:lang w:val="en-GB"/>
        </w:rPr>
      </w:pPr>
      <w:r w:rsidRPr="009B5B67">
        <w:rPr>
          <w:lang w:val="en-GB" w:eastAsia="sr-Latn-RS"/>
        </w:rPr>
        <w:t xml:space="preserve">Annex 1 - </w:t>
      </w:r>
      <w:r w:rsidR="0075181F" w:rsidRPr="009B5B67">
        <w:rPr>
          <w:lang w:val="en-GB" w:eastAsia="sr-Latn-RS"/>
        </w:rPr>
        <w:t>Key sectors and Greenhouse gas Emissions</w:t>
      </w:r>
      <w:bookmarkEnd w:id="28"/>
      <w:bookmarkEnd w:id="29"/>
      <w:bookmarkEnd w:id="30"/>
      <w:bookmarkEnd w:id="31"/>
      <w:bookmarkEnd w:id="32"/>
      <w:bookmarkEnd w:id="33"/>
      <w:bookmarkEnd w:id="34"/>
      <w:bookmarkEnd w:id="35"/>
      <w:bookmarkEnd w:id="36"/>
      <w:bookmarkEnd w:id="37"/>
      <w:bookmarkEnd w:id="38"/>
      <w:bookmarkEnd w:id="39"/>
      <w:r w:rsidR="0075181F" w:rsidRPr="009B5B67">
        <w:rPr>
          <w:spacing w:val="36"/>
          <w:lang w:val="en-GB"/>
        </w:rPr>
        <w:t xml:space="preserve"> </w:t>
      </w:r>
    </w:p>
    <w:p w14:paraId="49FE1F3E" w14:textId="77777777" w:rsidR="0075181F" w:rsidRPr="009B5B67" w:rsidRDefault="0075181F" w:rsidP="0075181F">
      <w:pPr>
        <w:pStyle w:val="Heading2"/>
        <w:widowControl w:val="0"/>
        <w:numPr>
          <w:ilvl w:val="1"/>
          <w:numId w:val="17"/>
        </w:numPr>
        <w:tabs>
          <w:tab w:val="num" w:pos="1134"/>
        </w:tabs>
        <w:autoSpaceDE w:val="0"/>
        <w:autoSpaceDN w:val="0"/>
        <w:ind w:left="578" w:hanging="578"/>
        <w:jc w:val="left"/>
        <w:rPr>
          <w:b/>
          <w:lang w:val="en-GB"/>
        </w:rPr>
      </w:pPr>
      <w:bookmarkStart w:id="41" w:name="_Toc524355656"/>
      <w:bookmarkStart w:id="42" w:name="_Toc526940862"/>
      <w:bookmarkStart w:id="43" w:name="_Toc536718380"/>
      <w:bookmarkStart w:id="44" w:name="_Toc56411213"/>
      <w:bookmarkStart w:id="45" w:name="_Toc56439377"/>
      <w:r w:rsidRPr="009B5B67">
        <w:rPr>
          <w:b/>
          <w:lang w:val="en-GB"/>
        </w:rPr>
        <w:t>Overview of GHG inventory in the period 1990-2015</w:t>
      </w:r>
      <w:bookmarkEnd w:id="41"/>
      <w:bookmarkEnd w:id="42"/>
      <w:bookmarkEnd w:id="43"/>
      <w:bookmarkEnd w:id="44"/>
      <w:bookmarkEnd w:id="45"/>
    </w:p>
    <w:p w14:paraId="3501779F" w14:textId="1921FF63" w:rsidR="0075181F" w:rsidRPr="009B5B67" w:rsidRDefault="0075181F" w:rsidP="0075181F">
      <w:pPr>
        <w:rPr>
          <w:lang w:val="en-GB"/>
        </w:rPr>
      </w:pPr>
      <w:r w:rsidRPr="009B5B67">
        <w:rPr>
          <w:lang w:val="en-GB"/>
        </w:rPr>
        <w:t>Total emissions of GHG in 2015, (without LULUCF), amounted to 61,233 kt CO</w:t>
      </w:r>
      <w:r w:rsidRPr="009B5B67">
        <w:rPr>
          <w:vertAlign w:val="subscript"/>
          <w:lang w:val="en-GB"/>
        </w:rPr>
        <w:t>2</w:t>
      </w:r>
      <w:r w:rsidRPr="009B5B67">
        <w:rPr>
          <w:lang w:val="en-GB"/>
        </w:rPr>
        <w:t xml:space="preserve"> eq., which represents a 2</w:t>
      </w:r>
      <w:r w:rsidR="0094603E" w:rsidRPr="009B5B67">
        <w:rPr>
          <w:lang w:val="en-GB"/>
        </w:rPr>
        <w:t>.</w:t>
      </w:r>
      <w:r w:rsidRPr="009B5B67">
        <w:rPr>
          <w:lang w:val="en-GB"/>
        </w:rPr>
        <w:t xml:space="preserve">3% decrease of emissions compared to the year 2010 and </w:t>
      </w:r>
      <w:r w:rsidR="00ED793F" w:rsidRPr="009B5B67">
        <w:rPr>
          <w:lang w:val="en-GB"/>
        </w:rPr>
        <w:t xml:space="preserve">a </w:t>
      </w:r>
      <w:r w:rsidRPr="009B5B67">
        <w:rPr>
          <w:lang w:val="en-GB"/>
        </w:rPr>
        <w:t>13</w:t>
      </w:r>
      <w:r w:rsidR="0094603E" w:rsidRPr="009B5B67">
        <w:rPr>
          <w:lang w:val="en-GB"/>
        </w:rPr>
        <w:t>.</w:t>
      </w:r>
      <w:r w:rsidR="00075D19">
        <w:rPr>
          <w:lang w:val="en-GB"/>
        </w:rPr>
        <w:t>7</w:t>
      </w:r>
      <w:r w:rsidRPr="009B5B67">
        <w:rPr>
          <w:lang w:val="en-GB"/>
        </w:rPr>
        <w:t>% increase compare</w:t>
      </w:r>
      <w:r w:rsidR="00ED793F" w:rsidRPr="009B5B67">
        <w:rPr>
          <w:lang w:val="en-GB"/>
        </w:rPr>
        <w:t>d</w:t>
      </w:r>
      <w:r w:rsidRPr="009B5B67">
        <w:rPr>
          <w:lang w:val="en-GB"/>
        </w:rPr>
        <w:t xml:space="preserve"> to 2014. </w:t>
      </w:r>
      <w:r w:rsidR="00075D19">
        <w:rPr>
          <w:lang w:val="en-GB"/>
        </w:rPr>
        <w:t xml:space="preserve">The main </w:t>
      </w:r>
      <w:r w:rsidRPr="009B5B67">
        <w:rPr>
          <w:lang w:val="en-GB"/>
        </w:rPr>
        <w:t xml:space="preserve">driver </w:t>
      </w:r>
      <w:r w:rsidR="00075D19">
        <w:rPr>
          <w:lang w:val="en-GB"/>
        </w:rPr>
        <w:t xml:space="preserve">behind </w:t>
      </w:r>
      <w:r w:rsidR="009F7048" w:rsidRPr="009B5B67">
        <w:rPr>
          <w:lang w:val="en-GB"/>
        </w:rPr>
        <w:t>the</w:t>
      </w:r>
      <w:r w:rsidRPr="009B5B67">
        <w:rPr>
          <w:lang w:val="en-GB"/>
        </w:rPr>
        <w:t xml:space="preserve"> increase</w:t>
      </w:r>
      <w:r w:rsidR="009F7048" w:rsidRPr="009B5B67">
        <w:rPr>
          <w:lang w:val="en-GB"/>
        </w:rPr>
        <w:t>d</w:t>
      </w:r>
      <w:r w:rsidRPr="009B5B67">
        <w:rPr>
          <w:lang w:val="en-GB"/>
        </w:rPr>
        <w:t xml:space="preserve"> emissions in 2015 was the recover</w:t>
      </w:r>
      <w:r w:rsidR="00075D19">
        <w:rPr>
          <w:lang w:val="en-GB"/>
        </w:rPr>
        <w:t xml:space="preserve">y </w:t>
      </w:r>
      <w:r w:rsidRPr="009B5B67">
        <w:rPr>
          <w:lang w:val="en-GB"/>
        </w:rPr>
        <w:t>(+22</w:t>
      </w:r>
      <w:r w:rsidR="0094603E" w:rsidRPr="009B5B67">
        <w:rPr>
          <w:lang w:val="en-GB"/>
        </w:rPr>
        <w:t>.</w:t>
      </w:r>
      <w:r w:rsidRPr="009B5B67">
        <w:rPr>
          <w:lang w:val="en-GB"/>
        </w:rPr>
        <w:t>2%) of activities in IPCC category 1.A.1.a Production of electricity</w:t>
      </w:r>
      <w:r w:rsidR="00075D19">
        <w:rPr>
          <w:lang w:val="en-GB"/>
        </w:rPr>
        <w:t>,</w:t>
      </w:r>
      <w:r w:rsidRPr="009B5B67">
        <w:rPr>
          <w:lang w:val="en-GB"/>
        </w:rPr>
        <w:t xml:space="preserve"> after the extensive flood</w:t>
      </w:r>
      <w:r w:rsidR="009F7048" w:rsidRPr="009B5B67">
        <w:rPr>
          <w:lang w:val="en-GB"/>
        </w:rPr>
        <w:t>s</w:t>
      </w:r>
      <w:r w:rsidRPr="009B5B67">
        <w:rPr>
          <w:lang w:val="en-GB"/>
        </w:rPr>
        <w:t xml:space="preserve"> in 2014 which </w:t>
      </w:r>
      <w:r w:rsidR="009F7048" w:rsidRPr="009B5B67">
        <w:rPr>
          <w:lang w:val="en-GB"/>
        </w:rPr>
        <w:t>resulted in a shut-</w:t>
      </w:r>
      <w:r w:rsidRPr="009B5B67">
        <w:rPr>
          <w:lang w:val="en-GB"/>
        </w:rPr>
        <w:t xml:space="preserve">down </w:t>
      </w:r>
      <w:r w:rsidR="009F7048" w:rsidRPr="009B5B67">
        <w:rPr>
          <w:lang w:val="en-GB"/>
        </w:rPr>
        <w:t xml:space="preserve">of </w:t>
      </w:r>
      <w:r w:rsidRPr="009B5B67">
        <w:rPr>
          <w:lang w:val="en-GB"/>
        </w:rPr>
        <w:t>some electricity producers. Furthermore, significant increase of GHG emission</w:t>
      </w:r>
      <w:r w:rsidR="009F7048" w:rsidRPr="009B5B67">
        <w:rPr>
          <w:lang w:val="en-GB"/>
        </w:rPr>
        <w:t>s</w:t>
      </w:r>
      <w:r w:rsidRPr="009B5B67">
        <w:rPr>
          <w:lang w:val="en-GB"/>
        </w:rPr>
        <w:t xml:space="preserve"> in 2015 </w:t>
      </w:r>
      <w:proofErr w:type="gramStart"/>
      <w:r w:rsidRPr="009B5B67">
        <w:rPr>
          <w:lang w:val="en-GB"/>
        </w:rPr>
        <w:t>w</w:t>
      </w:r>
      <w:r w:rsidR="00075D19">
        <w:rPr>
          <w:lang w:val="en-GB"/>
        </w:rPr>
        <w:t xml:space="preserve">as </w:t>
      </w:r>
      <w:r w:rsidRPr="009B5B67">
        <w:rPr>
          <w:lang w:val="en-GB"/>
        </w:rPr>
        <w:t xml:space="preserve"> identified</w:t>
      </w:r>
      <w:proofErr w:type="gramEnd"/>
      <w:r w:rsidRPr="009B5B67">
        <w:rPr>
          <w:lang w:val="en-GB"/>
        </w:rPr>
        <w:t xml:space="preserve"> in the IPCC category manufacturing industries and constructions (+16</w:t>
      </w:r>
      <w:r w:rsidR="0094603E" w:rsidRPr="009B5B67">
        <w:rPr>
          <w:lang w:val="en-GB"/>
        </w:rPr>
        <w:t>.</w:t>
      </w:r>
      <w:r w:rsidRPr="009B5B67">
        <w:rPr>
          <w:lang w:val="en-GB"/>
        </w:rPr>
        <w:t>6%)</w:t>
      </w:r>
      <w:r w:rsidR="009F7048" w:rsidRPr="009B5B67">
        <w:rPr>
          <w:lang w:val="en-GB"/>
        </w:rPr>
        <w:t xml:space="preserve"> and</w:t>
      </w:r>
      <w:r w:rsidRPr="009B5B67">
        <w:rPr>
          <w:lang w:val="en-GB"/>
        </w:rPr>
        <w:t xml:space="preserve"> IPCC category 2.C Industrial processes (+12</w:t>
      </w:r>
      <w:r w:rsidR="0094603E" w:rsidRPr="009B5B67">
        <w:rPr>
          <w:lang w:val="en-GB"/>
        </w:rPr>
        <w:t>.</w:t>
      </w:r>
      <w:r w:rsidRPr="009B5B67">
        <w:rPr>
          <w:lang w:val="en-GB"/>
        </w:rPr>
        <w:t>6%) due to revival of steel production in Serbia. Moderate decline of GHG emissions in the period 2010-2015 was also observed in IPCC sector</w:t>
      </w:r>
      <w:r w:rsidR="009F7048" w:rsidRPr="009B5B67">
        <w:rPr>
          <w:lang w:val="en-GB"/>
        </w:rPr>
        <w:t>s</w:t>
      </w:r>
      <w:r w:rsidRPr="009B5B67">
        <w:rPr>
          <w:lang w:val="en-GB"/>
        </w:rPr>
        <w:t xml:space="preserve"> waste (-0</w:t>
      </w:r>
      <w:r w:rsidR="0094603E" w:rsidRPr="009B5B67">
        <w:rPr>
          <w:lang w:val="en-GB"/>
        </w:rPr>
        <w:t>.</w:t>
      </w:r>
      <w:r w:rsidRPr="009B5B67">
        <w:rPr>
          <w:lang w:val="en-GB"/>
        </w:rPr>
        <w:t>7%) and agriculture (-0</w:t>
      </w:r>
      <w:r w:rsidR="0094603E" w:rsidRPr="009B5B67">
        <w:rPr>
          <w:lang w:val="en-GB"/>
        </w:rPr>
        <w:t>.</w:t>
      </w:r>
      <w:r w:rsidRPr="009B5B67">
        <w:rPr>
          <w:lang w:val="en-GB"/>
        </w:rPr>
        <w:t>9%).</w:t>
      </w:r>
    </w:p>
    <w:p w14:paraId="1456F065" w14:textId="77777777" w:rsidR="0075181F" w:rsidRPr="009B5B67" w:rsidRDefault="0094603E" w:rsidP="0094603E">
      <w:pPr>
        <w:pStyle w:val="Caption"/>
        <w:rPr>
          <w:lang w:val="en-GB"/>
        </w:rPr>
      </w:pPr>
      <w:bookmarkStart w:id="46" w:name="_Toc526940722"/>
      <w:bookmarkStart w:id="47" w:name="_Toc524696957"/>
      <w:bookmarkStart w:id="48" w:name="_Toc29499734"/>
      <w:bookmarkStart w:id="49" w:name="_Toc56415845"/>
      <w:r w:rsidRPr="009B5B67">
        <w:rPr>
          <w:lang w:val="en-GB"/>
        </w:rPr>
        <w:t xml:space="preserve">Figure </w:t>
      </w:r>
      <w:r w:rsidRPr="009B5B67">
        <w:rPr>
          <w:lang w:val="en-GB"/>
        </w:rPr>
        <w:fldChar w:fldCharType="begin"/>
      </w:r>
      <w:r w:rsidRPr="009B5B67">
        <w:rPr>
          <w:lang w:val="en-GB"/>
        </w:rPr>
        <w:instrText xml:space="preserve"> SEQ Figure \* ARABIC </w:instrText>
      </w:r>
      <w:r w:rsidRPr="009B5B67">
        <w:rPr>
          <w:lang w:val="en-GB"/>
        </w:rPr>
        <w:fldChar w:fldCharType="separate"/>
      </w:r>
      <w:r w:rsidRPr="009B5B67">
        <w:rPr>
          <w:noProof/>
          <w:lang w:val="en-GB"/>
        </w:rPr>
        <w:t>2</w:t>
      </w:r>
      <w:r w:rsidRPr="009B5B67">
        <w:rPr>
          <w:lang w:val="en-GB"/>
        </w:rPr>
        <w:fldChar w:fldCharType="end"/>
      </w:r>
      <w:r w:rsidR="0075181F" w:rsidRPr="009B5B67">
        <w:rPr>
          <w:lang w:val="en-GB"/>
        </w:rPr>
        <w:t>: Serbia’s total GHG emissions (w/o LULUCF) (1990-2015) (kt CO</w:t>
      </w:r>
      <w:r w:rsidR="0075181F" w:rsidRPr="009B5B67">
        <w:rPr>
          <w:vertAlign w:val="subscript"/>
          <w:lang w:val="en-GB"/>
        </w:rPr>
        <w:t>2</w:t>
      </w:r>
      <w:r w:rsidR="0075181F" w:rsidRPr="009B5B67">
        <w:rPr>
          <w:lang w:val="en-GB"/>
        </w:rPr>
        <w:t>eq)</w:t>
      </w:r>
      <w:bookmarkEnd w:id="46"/>
      <w:bookmarkEnd w:id="47"/>
      <w:bookmarkEnd w:id="48"/>
      <w:bookmarkEnd w:id="49"/>
    </w:p>
    <w:p w14:paraId="6651202A" w14:textId="33DD077E" w:rsidR="0075181F" w:rsidRPr="009B5B67" w:rsidRDefault="0075181F" w:rsidP="0075181F">
      <w:pPr>
        <w:rPr>
          <w:lang w:val="en-GB"/>
        </w:rPr>
      </w:pPr>
      <w:r w:rsidRPr="009B5B67">
        <w:rPr>
          <w:noProof/>
          <w:lang w:eastAsia="de-AT"/>
        </w:rPr>
        <w:drawing>
          <wp:inline distT="0" distB="0" distL="0" distR="0" wp14:anchorId="1CCBE435" wp14:editId="54FE82B2">
            <wp:extent cx="4928342" cy="2811438"/>
            <wp:effectExtent l="0" t="0" r="571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6867" cy="2822006"/>
                    </a:xfrm>
                    <a:prstGeom prst="rect">
                      <a:avLst/>
                    </a:prstGeom>
                    <a:noFill/>
                    <a:ln>
                      <a:noFill/>
                    </a:ln>
                  </pic:spPr>
                </pic:pic>
              </a:graphicData>
            </a:graphic>
          </wp:inline>
        </w:drawing>
      </w:r>
    </w:p>
    <w:p w14:paraId="514BE46B" w14:textId="77777777" w:rsidR="0075181F" w:rsidRPr="009B5B67" w:rsidRDefault="0075181F" w:rsidP="0075181F">
      <w:pPr>
        <w:rPr>
          <w:lang w:val="en-G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9"/>
        <w:gridCol w:w="2677"/>
        <w:gridCol w:w="1059"/>
        <w:gridCol w:w="1059"/>
        <w:gridCol w:w="1059"/>
        <w:gridCol w:w="1059"/>
        <w:gridCol w:w="1181"/>
        <w:gridCol w:w="1182"/>
      </w:tblGrid>
      <w:tr w:rsidR="0075181F" w:rsidRPr="009B5B67" w14:paraId="515F08CA" w14:textId="77777777" w:rsidTr="0094603E">
        <w:trPr>
          <w:trHeight w:val="94"/>
          <w:tblHeader/>
        </w:trPr>
        <w:tc>
          <w:tcPr>
            <w:tcW w:w="579" w:type="dxa"/>
            <w:vMerge w:val="restart"/>
            <w:shd w:val="clear" w:color="auto" w:fill="D5DCE4" w:themeFill="text2" w:themeFillTint="33"/>
          </w:tcPr>
          <w:p w14:paraId="6786ABB2" w14:textId="77777777" w:rsidR="0075181F" w:rsidRPr="009B5B67" w:rsidRDefault="0075181F" w:rsidP="0094603E">
            <w:pPr>
              <w:spacing w:before="60" w:after="40" w:line="240" w:lineRule="auto"/>
              <w:jc w:val="left"/>
              <w:rPr>
                <w:rFonts w:eastAsia="Times New Roman" w:cs="Arial"/>
                <w:b/>
                <w:color w:val="000000"/>
                <w:sz w:val="18"/>
                <w:szCs w:val="18"/>
                <w:lang w:val="en-GB" w:eastAsia="de-AT"/>
              </w:rPr>
            </w:pPr>
            <w:r w:rsidRPr="009B5B67">
              <w:rPr>
                <w:rFonts w:eastAsia="Times New Roman" w:cs="Arial"/>
                <w:b/>
                <w:color w:val="000000"/>
                <w:sz w:val="18"/>
                <w:szCs w:val="18"/>
                <w:lang w:val="en-GB" w:eastAsia="de-AT"/>
              </w:rPr>
              <w:t>IPCC code</w:t>
            </w:r>
          </w:p>
        </w:tc>
        <w:tc>
          <w:tcPr>
            <w:tcW w:w="2677" w:type="dxa"/>
            <w:vMerge w:val="restart"/>
            <w:shd w:val="clear" w:color="auto" w:fill="D5DCE4" w:themeFill="text2" w:themeFillTint="33"/>
            <w:noWrap/>
            <w:vAlign w:val="center"/>
            <w:hideMark/>
          </w:tcPr>
          <w:p w14:paraId="3475A8CD" w14:textId="77777777" w:rsidR="0075181F" w:rsidRPr="009B5B67" w:rsidRDefault="0075181F" w:rsidP="0094603E">
            <w:pPr>
              <w:spacing w:before="60" w:after="40" w:line="240" w:lineRule="auto"/>
              <w:jc w:val="left"/>
              <w:rPr>
                <w:rFonts w:eastAsia="Times New Roman" w:cs="Arial"/>
                <w:b/>
                <w:color w:val="000000"/>
                <w:sz w:val="18"/>
                <w:szCs w:val="18"/>
                <w:lang w:val="en-GB" w:eastAsia="de-AT"/>
              </w:rPr>
            </w:pPr>
            <w:r w:rsidRPr="009B5B67">
              <w:rPr>
                <w:rFonts w:eastAsia="Times New Roman" w:cs="Arial"/>
                <w:b/>
                <w:color w:val="000000"/>
                <w:sz w:val="18"/>
                <w:szCs w:val="18"/>
                <w:lang w:val="en-GB" w:eastAsia="de-AT"/>
              </w:rPr>
              <w:t>IPCC sector</w:t>
            </w:r>
          </w:p>
        </w:tc>
        <w:tc>
          <w:tcPr>
            <w:tcW w:w="1059" w:type="dxa"/>
            <w:vMerge w:val="restart"/>
            <w:shd w:val="clear" w:color="auto" w:fill="D5DCE4" w:themeFill="text2" w:themeFillTint="33"/>
            <w:noWrap/>
            <w:vAlign w:val="center"/>
            <w:hideMark/>
          </w:tcPr>
          <w:p w14:paraId="20D991D9" w14:textId="77777777" w:rsidR="0075181F" w:rsidRPr="009B5B67" w:rsidRDefault="0075181F" w:rsidP="0094603E">
            <w:pPr>
              <w:spacing w:before="60" w:after="40" w:line="240" w:lineRule="auto"/>
              <w:jc w:val="center"/>
              <w:rPr>
                <w:rFonts w:eastAsia="Times New Roman" w:cs="Arial"/>
                <w:b/>
                <w:color w:val="000000"/>
                <w:sz w:val="18"/>
                <w:szCs w:val="18"/>
                <w:lang w:val="en-GB" w:eastAsia="de-AT"/>
              </w:rPr>
            </w:pPr>
            <w:r w:rsidRPr="009B5B67">
              <w:rPr>
                <w:rFonts w:eastAsia="Times New Roman" w:cs="Arial"/>
                <w:b/>
                <w:color w:val="000000"/>
                <w:sz w:val="18"/>
                <w:szCs w:val="18"/>
                <w:lang w:val="en-GB" w:eastAsia="de-AT"/>
              </w:rPr>
              <w:t>1990</w:t>
            </w:r>
          </w:p>
        </w:tc>
        <w:tc>
          <w:tcPr>
            <w:tcW w:w="1059" w:type="dxa"/>
            <w:vMerge w:val="restart"/>
            <w:shd w:val="clear" w:color="auto" w:fill="D5DCE4" w:themeFill="text2" w:themeFillTint="33"/>
            <w:noWrap/>
            <w:vAlign w:val="center"/>
            <w:hideMark/>
          </w:tcPr>
          <w:p w14:paraId="55BCEF59" w14:textId="77777777" w:rsidR="0075181F" w:rsidRPr="009B5B67" w:rsidRDefault="0075181F" w:rsidP="0094603E">
            <w:pPr>
              <w:spacing w:before="60" w:after="40" w:line="240" w:lineRule="auto"/>
              <w:jc w:val="center"/>
              <w:rPr>
                <w:rFonts w:eastAsia="Times New Roman" w:cs="Arial"/>
                <w:b/>
                <w:color w:val="000000"/>
                <w:sz w:val="18"/>
                <w:szCs w:val="18"/>
                <w:lang w:val="en-GB" w:eastAsia="de-AT"/>
              </w:rPr>
            </w:pPr>
            <w:r w:rsidRPr="009B5B67">
              <w:rPr>
                <w:rFonts w:eastAsia="Times New Roman" w:cs="Arial"/>
                <w:b/>
                <w:color w:val="000000"/>
                <w:sz w:val="18"/>
                <w:szCs w:val="18"/>
                <w:lang w:val="en-GB" w:eastAsia="de-AT"/>
              </w:rPr>
              <w:t>2005</w:t>
            </w:r>
          </w:p>
        </w:tc>
        <w:tc>
          <w:tcPr>
            <w:tcW w:w="1059" w:type="dxa"/>
            <w:vMerge w:val="restart"/>
            <w:shd w:val="clear" w:color="auto" w:fill="D5DCE4" w:themeFill="text2" w:themeFillTint="33"/>
            <w:noWrap/>
            <w:vAlign w:val="center"/>
            <w:hideMark/>
          </w:tcPr>
          <w:p w14:paraId="4C37080A" w14:textId="77777777" w:rsidR="0075181F" w:rsidRPr="009B5B67" w:rsidRDefault="0075181F" w:rsidP="0094603E">
            <w:pPr>
              <w:spacing w:before="60" w:after="40" w:line="240" w:lineRule="auto"/>
              <w:jc w:val="center"/>
              <w:rPr>
                <w:rFonts w:eastAsia="Times New Roman" w:cs="Arial"/>
                <w:b/>
                <w:color w:val="000000"/>
                <w:sz w:val="18"/>
                <w:szCs w:val="18"/>
                <w:lang w:val="en-GB" w:eastAsia="de-AT"/>
              </w:rPr>
            </w:pPr>
            <w:r w:rsidRPr="009B5B67">
              <w:rPr>
                <w:rFonts w:eastAsia="Times New Roman" w:cs="Arial"/>
                <w:b/>
                <w:color w:val="000000"/>
                <w:sz w:val="18"/>
                <w:szCs w:val="18"/>
                <w:lang w:val="en-GB" w:eastAsia="de-AT"/>
              </w:rPr>
              <w:t>2010</w:t>
            </w:r>
          </w:p>
        </w:tc>
        <w:tc>
          <w:tcPr>
            <w:tcW w:w="1059" w:type="dxa"/>
            <w:vMerge w:val="restart"/>
            <w:shd w:val="clear" w:color="auto" w:fill="D5DCE4" w:themeFill="text2" w:themeFillTint="33"/>
            <w:noWrap/>
            <w:vAlign w:val="center"/>
            <w:hideMark/>
          </w:tcPr>
          <w:p w14:paraId="763C583F" w14:textId="77777777" w:rsidR="0075181F" w:rsidRPr="009B5B67" w:rsidRDefault="0075181F" w:rsidP="0094603E">
            <w:pPr>
              <w:spacing w:before="60" w:after="40" w:line="240" w:lineRule="auto"/>
              <w:jc w:val="center"/>
              <w:rPr>
                <w:rFonts w:eastAsia="Times New Roman" w:cs="Arial"/>
                <w:b/>
                <w:color w:val="000000"/>
                <w:sz w:val="18"/>
                <w:szCs w:val="18"/>
                <w:lang w:val="en-GB" w:eastAsia="de-AT"/>
              </w:rPr>
            </w:pPr>
            <w:r w:rsidRPr="009B5B67">
              <w:rPr>
                <w:rFonts w:eastAsia="Times New Roman" w:cs="Arial"/>
                <w:b/>
                <w:color w:val="000000"/>
                <w:sz w:val="18"/>
                <w:szCs w:val="18"/>
                <w:lang w:val="en-GB" w:eastAsia="de-AT"/>
              </w:rPr>
              <w:t>2015</w:t>
            </w:r>
          </w:p>
        </w:tc>
        <w:tc>
          <w:tcPr>
            <w:tcW w:w="2363" w:type="dxa"/>
            <w:gridSpan w:val="2"/>
            <w:shd w:val="clear" w:color="auto" w:fill="D5DCE4" w:themeFill="text2" w:themeFillTint="33"/>
            <w:noWrap/>
            <w:vAlign w:val="center"/>
          </w:tcPr>
          <w:p w14:paraId="04126951" w14:textId="77777777" w:rsidR="0075181F" w:rsidRPr="009B5B67" w:rsidRDefault="0075181F" w:rsidP="0094603E">
            <w:pPr>
              <w:spacing w:before="60" w:after="40" w:line="240" w:lineRule="auto"/>
              <w:jc w:val="center"/>
              <w:rPr>
                <w:rFonts w:eastAsia="Times New Roman" w:cs="Arial"/>
                <w:b/>
                <w:color w:val="000000"/>
                <w:sz w:val="18"/>
                <w:szCs w:val="18"/>
                <w:lang w:val="en-GB" w:eastAsia="de-AT"/>
              </w:rPr>
            </w:pPr>
            <w:r w:rsidRPr="009B5B67">
              <w:rPr>
                <w:rFonts w:eastAsia="Times New Roman" w:cs="Arial"/>
                <w:b/>
                <w:color w:val="000000"/>
                <w:sz w:val="18"/>
                <w:szCs w:val="18"/>
                <w:lang w:val="en-GB" w:eastAsia="de-AT"/>
              </w:rPr>
              <w:t>Trend</w:t>
            </w:r>
          </w:p>
        </w:tc>
      </w:tr>
      <w:tr w:rsidR="0075181F" w:rsidRPr="009B5B67" w14:paraId="04342801" w14:textId="77777777" w:rsidTr="0094603E">
        <w:trPr>
          <w:trHeight w:val="93"/>
          <w:tblHeader/>
        </w:trPr>
        <w:tc>
          <w:tcPr>
            <w:tcW w:w="579" w:type="dxa"/>
            <w:vMerge/>
            <w:shd w:val="clear" w:color="auto" w:fill="D5DCE4" w:themeFill="text2" w:themeFillTint="33"/>
          </w:tcPr>
          <w:p w14:paraId="45E10859" w14:textId="77777777" w:rsidR="0075181F" w:rsidRPr="009B5B67" w:rsidRDefault="0075181F" w:rsidP="0094603E">
            <w:pPr>
              <w:spacing w:before="60" w:after="40" w:line="240" w:lineRule="auto"/>
              <w:jc w:val="left"/>
              <w:rPr>
                <w:rFonts w:eastAsia="Times New Roman" w:cs="Arial"/>
                <w:b/>
                <w:color w:val="000000"/>
                <w:sz w:val="18"/>
                <w:szCs w:val="18"/>
                <w:lang w:val="en-GB" w:eastAsia="de-AT"/>
              </w:rPr>
            </w:pPr>
          </w:p>
        </w:tc>
        <w:tc>
          <w:tcPr>
            <w:tcW w:w="2677" w:type="dxa"/>
            <w:vMerge/>
            <w:shd w:val="clear" w:color="auto" w:fill="D5DCE4" w:themeFill="text2" w:themeFillTint="33"/>
            <w:noWrap/>
            <w:vAlign w:val="center"/>
          </w:tcPr>
          <w:p w14:paraId="650A0570" w14:textId="77777777" w:rsidR="0075181F" w:rsidRPr="009B5B67" w:rsidRDefault="0075181F" w:rsidP="0094603E">
            <w:pPr>
              <w:spacing w:before="60" w:after="40" w:line="240" w:lineRule="auto"/>
              <w:jc w:val="left"/>
              <w:rPr>
                <w:rFonts w:eastAsia="Times New Roman" w:cs="Arial"/>
                <w:b/>
                <w:color w:val="000000"/>
                <w:sz w:val="18"/>
                <w:szCs w:val="18"/>
                <w:lang w:val="en-GB" w:eastAsia="de-AT"/>
              </w:rPr>
            </w:pPr>
          </w:p>
        </w:tc>
        <w:tc>
          <w:tcPr>
            <w:tcW w:w="1059" w:type="dxa"/>
            <w:vMerge/>
            <w:shd w:val="clear" w:color="auto" w:fill="D5DCE4" w:themeFill="text2" w:themeFillTint="33"/>
            <w:noWrap/>
            <w:vAlign w:val="center"/>
          </w:tcPr>
          <w:p w14:paraId="4C7F81FD" w14:textId="77777777" w:rsidR="0075181F" w:rsidRPr="009B5B67" w:rsidRDefault="0075181F" w:rsidP="0094603E">
            <w:pPr>
              <w:spacing w:before="60" w:after="40" w:line="240" w:lineRule="auto"/>
              <w:jc w:val="center"/>
              <w:rPr>
                <w:rFonts w:eastAsia="Times New Roman" w:cs="Arial"/>
                <w:b/>
                <w:color w:val="000000"/>
                <w:sz w:val="18"/>
                <w:szCs w:val="18"/>
                <w:lang w:val="en-GB" w:eastAsia="de-AT"/>
              </w:rPr>
            </w:pPr>
          </w:p>
        </w:tc>
        <w:tc>
          <w:tcPr>
            <w:tcW w:w="1059" w:type="dxa"/>
            <w:vMerge/>
            <w:shd w:val="clear" w:color="auto" w:fill="D5DCE4" w:themeFill="text2" w:themeFillTint="33"/>
            <w:noWrap/>
            <w:vAlign w:val="center"/>
          </w:tcPr>
          <w:p w14:paraId="52AA9AC1" w14:textId="77777777" w:rsidR="0075181F" w:rsidRPr="009B5B67" w:rsidRDefault="0075181F" w:rsidP="0094603E">
            <w:pPr>
              <w:spacing w:before="60" w:after="40" w:line="240" w:lineRule="auto"/>
              <w:jc w:val="center"/>
              <w:rPr>
                <w:rFonts w:eastAsia="Times New Roman" w:cs="Arial"/>
                <w:b/>
                <w:color w:val="000000"/>
                <w:sz w:val="18"/>
                <w:szCs w:val="18"/>
                <w:lang w:val="en-GB" w:eastAsia="de-AT"/>
              </w:rPr>
            </w:pPr>
          </w:p>
        </w:tc>
        <w:tc>
          <w:tcPr>
            <w:tcW w:w="1059" w:type="dxa"/>
            <w:vMerge/>
            <w:shd w:val="clear" w:color="auto" w:fill="D5DCE4" w:themeFill="text2" w:themeFillTint="33"/>
            <w:noWrap/>
            <w:vAlign w:val="center"/>
          </w:tcPr>
          <w:p w14:paraId="75FFC1C4" w14:textId="77777777" w:rsidR="0075181F" w:rsidRPr="009B5B67" w:rsidRDefault="0075181F" w:rsidP="0094603E">
            <w:pPr>
              <w:spacing w:before="60" w:after="40" w:line="240" w:lineRule="auto"/>
              <w:jc w:val="center"/>
              <w:rPr>
                <w:rFonts w:eastAsia="Times New Roman" w:cs="Arial"/>
                <w:b/>
                <w:color w:val="000000"/>
                <w:sz w:val="18"/>
                <w:szCs w:val="18"/>
                <w:lang w:val="en-GB" w:eastAsia="de-AT"/>
              </w:rPr>
            </w:pPr>
          </w:p>
        </w:tc>
        <w:tc>
          <w:tcPr>
            <w:tcW w:w="1059" w:type="dxa"/>
            <w:vMerge/>
            <w:shd w:val="clear" w:color="auto" w:fill="D5DCE4" w:themeFill="text2" w:themeFillTint="33"/>
            <w:noWrap/>
            <w:vAlign w:val="center"/>
          </w:tcPr>
          <w:p w14:paraId="6FB96C5E" w14:textId="77777777" w:rsidR="0075181F" w:rsidRPr="009B5B67" w:rsidRDefault="0075181F" w:rsidP="0094603E">
            <w:pPr>
              <w:spacing w:before="60" w:after="40" w:line="240" w:lineRule="auto"/>
              <w:jc w:val="center"/>
              <w:rPr>
                <w:rFonts w:eastAsia="Times New Roman" w:cs="Arial"/>
                <w:b/>
                <w:color w:val="000000"/>
                <w:sz w:val="18"/>
                <w:szCs w:val="18"/>
                <w:lang w:val="en-GB" w:eastAsia="de-AT"/>
              </w:rPr>
            </w:pPr>
          </w:p>
        </w:tc>
        <w:tc>
          <w:tcPr>
            <w:tcW w:w="1181" w:type="dxa"/>
            <w:shd w:val="clear" w:color="auto" w:fill="D5DCE4" w:themeFill="text2" w:themeFillTint="33"/>
            <w:noWrap/>
            <w:vAlign w:val="center"/>
          </w:tcPr>
          <w:p w14:paraId="377F4F34" w14:textId="77777777" w:rsidR="0075181F" w:rsidRPr="009B5B67" w:rsidRDefault="0075181F" w:rsidP="0094603E">
            <w:pPr>
              <w:spacing w:before="60" w:after="40" w:line="240" w:lineRule="auto"/>
              <w:rPr>
                <w:rFonts w:cs="Arial"/>
                <w:color w:val="000000"/>
                <w:sz w:val="18"/>
                <w:szCs w:val="18"/>
                <w:lang w:val="en-GB"/>
              </w:rPr>
            </w:pPr>
            <w:r w:rsidRPr="009B5B67">
              <w:rPr>
                <w:rFonts w:cs="Arial"/>
                <w:color w:val="000000"/>
                <w:sz w:val="18"/>
                <w:szCs w:val="18"/>
                <w:lang w:val="en-GB"/>
              </w:rPr>
              <w:t>1990 - 2030</w:t>
            </w:r>
          </w:p>
        </w:tc>
        <w:tc>
          <w:tcPr>
            <w:tcW w:w="1182" w:type="dxa"/>
            <w:shd w:val="clear" w:color="auto" w:fill="D5DCE4" w:themeFill="text2" w:themeFillTint="33"/>
            <w:noWrap/>
            <w:vAlign w:val="center"/>
          </w:tcPr>
          <w:p w14:paraId="2A0E5DE0" w14:textId="77777777" w:rsidR="0075181F" w:rsidRPr="009B5B67" w:rsidRDefault="0075181F" w:rsidP="0094603E">
            <w:pPr>
              <w:spacing w:before="60" w:after="40" w:line="240" w:lineRule="auto"/>
              <w:jc w:val="center"/>
              <w:rPr>
                <w:rFonts w:cs="Arial"/>
                <w:color w:val="000000"/>
                <w:sz w:val="18"/>
                <w:szCs w:val="18"/>
                <w:lang w:val="en-GB"/>
              </w:rPr>
            </w:pPr>
            <w:r w:rsidRPr="009B5B67">
              <w:rPr>
                <w:rFonts w:cs="Arial"/>
                <w:color w:val="000000"/>
                <w:sz w:val="18"/>
                <w:szCs w:val="18"/>
                <w:lang w:val="en-GB"/>
              </w:rPr>
              <w:t>2010 - 2030</w:t>
            </w:r>
          </w:p>
        </w:tc>
      </w:tr>
      <w:tr w:rsidR="0075181F" w:rsidRPr="009B5B67" w14:paraId="42F2F6FD" w14:textId="77777777" w:rsidTr="0094603E">
        <w:trPr>
          <w:trHeight w:val="300"/>
        </w:trPr>
        <w:tc>
          <w:tcPr>
            <w:tcW w:w="579" w:type="dxa"/>
          </w:tcPr>
          <w:p w14:paraId="5FEF68BB"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r w:rsidRPr="009B5B67">
              <w:rPr>
                <w:rFonts w:eastAsia="Times New Roman" w:cs="Arial"/>
                <w:color w:val="000000"/>
                <w:sz w:val="18"/>
                <w:szCs w:val="18"/>
                <w:lang w:val="en-GB" w:eastAsia="de-AT"/>
              </w:rPr>
              <w:t>1.A.1</w:t>
            </w:r>
          </w:p>
        </w:tc>
        <w:tc>
          <w:tcPr>
            <w:tcW w:w="2677" w:type="dxa"/>
            <w:shd w:val="clear" w:color="auto" w:fill="auto"/>
            <w:noWrap/>
            <w:vAlign w:val="bottom"/>
            <w:hideMark/>
          </w:tcPr>
          <w:p w14:paraId="7E91BAE0"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Energy industries</w:t>
            </w:r>
          </w:p>
        </w:tc>
        <w:tc>
          <w:tcPr>
            <w:tcW w:w="1059" w:type="dxa"/>
            <w:shd w:val="clear" w:color="auto" w:fill="auto"/>
            <w:noWrap/>
            <w:hideMark/>
          </w:tcPr>
          <w:p w14:paraId="37BB27A0"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44,146</w:t>
            </w:r>
          </w:p>
        </w:tc>
        <w:tc>
          <w:tcPr>
            <w:tcW w:w="1059" w:type="dxa"/>
            <w:shd w:val="clear" w:color="auto" w:fill="auto"/>
            <w:noWrap/>
            <w:hideMark/>
          </w:tcPr>
          <w:p w14:paraId="21EBEF88"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35,557</w:t>
            </w:r>
          </w:p>
        </w:tc>
        <w:tc>
          <w:tcPr>
            <w:tcW w:w="1059" w:type="dxa"/>
            <w:shd w:val="clear" w:color="auto" w:fill="auto"/>
            <w:noWrap/>
            <w:hideMark/>
          </w:tcPr>
          <w:p w14:paraId="7350F60A"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33,050</w:t>
            </w:r>
          </w:p>
        </w:tc>
        <w:tc>
          <w:tcPr>
            <w:tcW w:w="1059" w:type="dxa"/>
            <w:shd w:val="clear" w:color="auto" w:fill="auto"/>
            <w:noWrap/>
            <w:hideMark/>
          </w:tcPr>
          <w:p w14:paraId="03FBE256"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34,700</w:t>
            </w:r>
          </w:p>
        </w:tc>
        <w:tc>
          <w:tcPr>
            <w:tcW w:w="1181" w:type="dxa"/>
            <w:shd w:val="clear" w:color="auto" w:fill="auto"/>
            <w:noWrap/>
            <w:hideMark/>
          </w:tcPr>
          <w:p w14:paraId="7126A4BA"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-37.9%</w:t>
            </w:r>
          </w:p>
        </w:tc>
        <w:tc>
          <w:tcPr>
            <w:tcW w:w="1182" w:type="dxa"/>
            <w:shd w:val="clear" w:color="auto" w:fill="auto"/>
            <w:noWrap/>
            <w:hideMark/>
          </w:tcPr>
          <w:p w14:paraId="728A6934"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-17.0%</w:t>
            </w:r>
          </w:p>
        </w:tc>
      </w:tr>
      <w:tr w:rsidR="0075181F" w:rsidRPr="009B5B67" w14:paraId="00873EE9" w14:textId="77777777" w:rsidTr="0094603E">
        <w:trPr>
          <w:trHeight w:val="300"/>
        </w:trPr>
        <w:tc>
          <w:tcPr>
            <w:tcW w:w="579" w:type="dxa"/>
          </w:tcPr>
          <w:p w14:paraId="7DFA0E90"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r w:rsidRPr="009B5B67">
              <w:rPr>
                <w:rFonts w:eastAsia="Times New Roman" w:cs="Arial"/>
                <w:color w:val="000000"/>
                <w:sz w:val="18"/>
                <w:szCs w:val="18"/>
                <w:lang w:val="en-GB" w:eastAsia="de-AT"/>
              </w:rPr>
              <w:t>1.A.2</w:t>
            </w:r>
          </w:p>
        </w:tc>
        <w:tc>
          <w:tcPr>
            <w:tcW w:w="2677" w:type="dxa"/>
            <w:shd w:val="clear" w:color="auto" w:fill="auto"/>
            <w:noWrap/>
            <w:vAlign w:val="bottom"/>
            <w:hideMark/>
          </w:tcPr>
          <w:p w14:paraId="7D0DB587"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Manufacturing industries and construction</w:t>
            </w:r>
          </w:p>
        </w:tc>
        <w:tc>
          <w:tcPr>
            <w:tcW w:w="1059" w:type="dxa"/>
            <w:shd w:val="clear" w:color="auto" w:fill="auto"/>
            <w:noWrap/>
            <w:hideMark/>
          </w:tcPr>
          <w:p w14:paraId="11F9E8C4"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6,418</w:t>
            </w:r>
          </w:p>
        </w:tc>
        <w:tc>
          <w:tcPr>
            <w:tcW w:w="1059" w:type="dxa"/>
            <w:shd w:val="clear" w:color="auto" w:fill="auto"/>
            <w:noWrap/>
            <w:hideMark/>
          </w:tcPr>
          <w:p w14:paraId="3B637042"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6,064</w:t>
            </w:r>
          </w:p>
        </w:tc>
        <w:tc>
          <w:tcPr>
            <w:tcW w:w="1059" w:type="dxa"/>
            <w:shd w:val="clear" w:color="auto" w:fill="auto"/>
            <w:noWrap/>
            <w:hideMark/>
          </w:tcPr>
          <w:p w14:paraId="70D671A2"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4,278</w:t>
            </w:r>
          </w:p>
        </w:tc>
        <w:tc>
          <w:tcPr>
            <w:tcW w:w="1059" w:type="dxa"/>
            <w:shd w:val="clear" w:color="auto" w:fill="auto"/>
            <w:noWrap/>
            <w:hideMark/>
          </w:tcPr>
          <w:p w14:paraId="6DD25600"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3,4 52</w:t>
            </w:r>
          </w:p>
        </w:tc>
        <w:tc>
          <w:tcPr>
            <w:tcW w:w="1181" w:type="dxa"/>
            <w:shd w:val="clear" w:color="auto" w:fill="auto"/>
            <w:noWrap/>
            <w:hideMark/>
          </w:tcPr>
          <w:p w14:paraId="393A2B79"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-43.1%</w:t>
            </w:r>
          </w:p>
        </w:tc>
        <w:tc>
          <w:tcPr>
            <w:tcW w:w="1182" w:type="dxa"/>
            <w:shd w:val="clear" w:color="auto" w:fill="auto"/>
            <w:noWrap/>
            <w:hideMark/>
          </w:tcPr>
          <w:p w14:paraId="07A282F9"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-14.7%</w:t>
            </w:r>
          </w:p>
        </w:tc>
      </w:tr>
      <w:tr w:rsidR="0075181F" w:rsidRPr="009B5B67" w14:paraId="7BEFDBC1" w14:textId="77777777" w:rsidTr="0094603E">
        <w:trPr>
          <w:trHeight w:val="300"/>
        </w:trPr>
        <w:tc>
          <w:tcPr>
            <w:tcW w:w="579" w:type="dxa"/>
          </w:tcPr>
          <w:p w14:paraId="5F8529D0"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r w:rsidRPr="009B5B67">
              <w:rPr>
                <w:rFonts w:eastAsia="Times New Roman" w:cs="Arial"/>
                <w:color w:val="000000"/>
                <w:sz w:val="18"/>
                <w:szCs w:val="18"/>
                <w:lang w:val="en-GB" w:eastAsia="de-AT"/>
              </w:rPr>
              <w:lastRenderedPageBreak/>
              <w:t>1.A.3</w:t>
            </w:r>
          </w:p>
        </w:tc>
        <w:tc>
          <w:tcPr>
            <w:tcW w:w="2677" w:type="dxa"/>
            <w:shd w:val="clear" w:color="auto" w:fill="auto"/>
            <w:noWrap/>
            <w:vAlign w:val="bottom"/>
            <w:hideMark/>
          </w:tcPr>
          <w:p w14:paraId="12A2011C"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Transport</w:t>
            </w:r>
          </w:p>
        </w:tc>
        <w:tc>
          <w:tcPr>
            <w:tcW w:w="1059" w:type="dxa"/>
            <w:shd w:val="clear" w:color="auto" w:fill="auto"/>
            <w:noWrap/>
            <w:hideMark/>
          </w:tcPr>
          <w:p w14:paraId="6C11475E"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4,564</w:t>
            </w:r>
          </w:p>
        </w:tc>
        <w:tc>
          <w:tcPr>
            <w:tcW w:w="1059" w:type="dxa"/>
            <w:shd w:val="clear" w:color="auto" w:fill="auto"/>
            <w:noWrap/>
            <w:hideMark/>
          </w:tcPr>
          <w:p w14:paraId="6DEBC3D4"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6,702</w:t>
            </w:r>
          </w:p>
        </w:tc>
        <w:tc>
          <w:tcPr>
            <w:tcW w:w="1059" w:type="dxa"/>
            <w:shd w:val="clear" w:color="auto" w:fill="auto"/>
            <w:noWrap/>
            <w:hideMark/>
          </w:tcPr>
          <w:p w14:paraId="08C47E66"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6,742</w:t>
            </w:r>
          </w:p>
        </w:tc>
        <w:tc>
          <w:tcPr>
            <w:tcW w:w="1059" w:type="dxa"/>
            <w:shd w:val="clear" w:color="auto" w:fill="auto"/>
            <w:noWrap/>
            <w:hideMark/>
          </w:tcPr>
          <w:p w14:paraId="7531D58F"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5,995</w:t>
            </w:r>
          </w:p>
        </w:tc>
        <w:tc>
          <w:tcPr>
            <w:tcW w:w="1181" w:type="dxa"/>
            <w:shd w:val="clear" w:color="auto" w:fill="auto"/>
            <w:noWrap/>
            <w:hideMark/>
          </w:tcPr>
          <w:p w14:paraId="13DACC3B"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62.9%</w:t>
            </w:r>
          </w:p>
        </w:tc>
        <w:tc>
          <w:tcPr>
            <w:tcW w:w="1182" w:type="dxa"/>
            <w:shd w:val="clear" w:color="auto" w:fill="auto"/>
            <w:noWrap/>
            <w:hideMark/>
          </w:tcPr>
          <w:p w14:paraId="4BD9C1E2"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10.2%</w:t>
            </w:r>
          </w:p>
        </w:tc>
      </w:tr>
      <w:tr w:rsidR="0075181F" w:rsidRPr="009B5B67" w14:paraId="26F4C28A" w14:textId="77777777" w:rsidTr="0094603E">
        <w:trPr>
          <w:trHeight w:val="300"/>
        </w:trPr>
        <w:tc>
          <w:tcPr>
            <w:tcW w:w="579" w:type="dxa"/>
          </w:tcPr>
          <w:p w14:paraId="3BCE8774"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r w:rsidRPr="009B5B67">
              <w:rPr>
                <w:rFonts w:eastAsia="Times New Roman" w:cs="Arial"/>
                <w:color w:val="000000"/>
                <w:sz w:val="18"/>
                <w:szCs w:val="18"/>
                <w:lang w:val="en-GB" w:eastAsia="de-AT"/>
              </w:rPr>
              <w:t>1.A.4</w:t>
            </w:r>
          </w:p>
        </w:tc>
        <w:tc>
          <w:tcPr>
            <w:tcW w:w="2677" w:type="dxa"/>
            <w:shd w:val="clear" w:color="auto" w:fill="auto"/>
            <w:noWrap/>
            <w:vAlign w:val="bottom"/>
            <w:hideMark/>
          </w:tcPr>
          <w:p w14:paraId="7D2F4F38"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Other sectors</w:t>
            </w:r>
          </w:p>
        </w:tc>
        <w:tc>
          <w:tcPr>
            <w:tcW w:w="1059" w:type="dxa"/>
            <w:shd w:val="clear" w:color="auto" w:fill="auto"/>
            <w:noWrap/>
            <w:hideMark/>
          </w:tcPr>
          <w:p w14:paraId="1AFF0EA2"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7,048</w:t>
            </w:r>
          </w:p>
        </w:tc>
        <w:tc>
          <w:tcPr>
            <w:tcW w:w="1059" w:type="dxa"/>
            <w:shd w:val="clear" w:color="auto" w:fill="auto"/>
            <w:noWrap/>
            <w:hideMark/>
          </w:tcPr>
          <w:p w14:paraId="45E116EC"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3,030</w:t>
            </w:r>
          </w:p>
        </w:tc>
        <w:tc>
          <w:tcPr>
            <w:tcW w:w="1059" w:type="dxa"/>
            <w:shd w:val="clear" w:color="auto" w:fill="auto"/>
            <w:noWrap/>
            <w:hideMark/>
          </w:tcPr>
          <w:p w14:paraId="67392CCE"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3,477</w:t>
            </w:r>
          </w:p>
        </w:tc>
        <w:tc>
          <w:tcPr>
            <w:tcW w:w="1059" w:type="dxa"/>
            <w:shd w:val="clear" w:color="auto" w:fill="auto"/>
            <w:noWrap/>
            <w:hideMark/>
          </w:tcPr>
          <w:p w14:paraId="1778C935"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2,711</w:t>
            </w:r>
          </w:p>
        </w:tc>
        <w:tc>
          <w:tcPr>
            <w:tcW w:w="1181" w:type="dxa"/>
            <w:shd w:val="clear" w:color="auto" w:fill="auto"/>
            <w:noWrap/>
            <w:hideMark/>
          </w:tcPr>
          <w:p w14:paraId="0FCBBF16"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-70.4%</w:t>
            </w:r>
          </w:p>
        </w:tc>
        <w:tc>
          <w:tcPr>
            <w:tcW w:w="1182" w:type="dxa"/>
            <w:shd w:val="clear" w:color="auto" w:fill="auto"/>
            <w:noWrap/>
            <w:hideMark/>
          </w:tcPr>
          <w:p w14:paraId="166E77C0"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-39.9%</w:t>
            </w:r>
          </w:p>
        </w:tc>
      </w:tr>
      <w:tr w:rsidR="0075181F" w:rsidRPr="009B5B67" w14:paraId="629F6E13" w14:textId="77777777" w:rsidTr="0094603E">
        <w:trPr>
          <w:trHeight w:val="300"/>
        </w:trPr>
        <w:tc>
          <w:tcPr>
            <w:tcW w:w="579" w:type="dxa"/>
          </w:tcPr>
          <w:p w14:paraId="16D7EE0B"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r w:rsidRPr="009B5B67">
              <w:rPr>
                <w:rFonts w:eastAsia="Times New Roman" w:cs="Arial"/>
                <w:color w:val="000000"/>
                <w:sz w:val="18"/>
                <w:szCs w:val="18"/>
                <w:lang w:val="en-GB" w:eastAsia="de-AT"/>
              </w:rPr>
              <w:t>1.B</w:t>
            </w:r>
          </w:p>
        </w:tc>
        <w:tc>
          <w:tcPr>
            <w:tcW w:w="2677" w:type="dxa"/>
            <w:shd w:val="clear" w:color="auto" w:fill="auto"/>
            <w:noWrap/>
            <w:vAlign w:val="bottom"/>
            <w:hideMark/>
          </w:tcPr>
          <w:p w14:paraId="74D3E187"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Fugitive emissions</w:t>
            </w:r>
          </w:p>
        </w:tc>
        <w:tc>
          <w:tcPr>
            <w:tcW w:w="1059" w:type="dxa"/>
            <w:shd w:val="clear" w:color="auto" w:fill="auto"/>
            <w:noWrap/>
            <w:hideMark/>
          </w:tcPr>
          <w:p w14:paraId="7F7FE775"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3,841</w:t>
            </w:r>
          </w:p>
        </w:tc>
        <w:tc>
          <w:tcPr>
            <w:tcW w:w="1059" w:type="dxa"/>
            <w:shd w:val="clear" w:color="auto" w:fill="auto"/>
            <w:noWrap/>
            <w:hideMark/>
          </w:tcPr>
          <w:p w14:paraId="68DF779A"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2,973</w:t>
            </w:r>
          </w:p>
        </w:tc>
        <w:tc>
          <w:tcPr>
            <w:tcW w:w="1059" w:type="dxa"/>
            <w:shd w:val="clear" w:color="auto" w:fill="auto"/>
            <w:noWrap/>
            <w:hideMark/>
          </w:tcPr>
          <w:p w14:paraId="5FFC31C6"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2,409</w:t>
            </w:r>
          </w:p>
        </w:tc>
        <w:tc>
          <w:tcPr>
            <w:tcW w:w="1059" w:type="dxa"/>
            <w:shd w:val="clear" w:color="auto" w:fill="auto"/>
            <w:noWrap/>
            <w:hideMark/>
          </w:tcPr>
          <w:p w14:paraId="690E692C"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2,523</w:t>
            </w:r>
          </w:p>
        </w:tc>
        <w:tc>
          <w:tcPr>
            <w:tcW w:w="1181" w:type="dxa"/>
            <w:shd w:val="clear" w:color="auto" w:fill="auto"/>
            <w:noWrap/>
            <w:hideMark/>
          </w:tcPr>
          <w:p w14:paraId="68E59A91"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-49.5%</w:t>
            </w:r>
          </w:p>
        </w:tc>
        <w:tc>
          <w:tcPr>
            <w:tcW w:w="1182" w:type="dxa"/>
            <w:shd w:val="clear" w:color="auto" w:fill="auto"/>
            <w:noWrap/>
            <w:hideMark/>
          </w:tcPr>
          <w:p w14:paraId="4B67A7DC"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-19.6%</w:t>
            </w:r>
          </w:p>
        </w:tc>
      </w:tr>
      <w:tr w:rsidR="0075181F" w:rsidRPr="009B5B67" w14:paraId="74031B1D" w14:textId="77777777" w:rsidTr="0094603E">
        <w:trPr>
          <w:trHeight w:val="300"/>
        </w:trPr>
        <w:tc>
          <w:tcPr>
            <w:tcW w:w="579" w:type="dxa"/>
          </w:tcPr>
          <w:p w14:paraId="194EAFDD"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r w:rsidRPr="009B5B67">
              <w:rPr>
                <w:rFonts w:eastAsia="Times New Roman" w:cs="Arial"/>
                <w:color w:val="000000"/>
                <w:sz w:val="18"/>
                <w:szCs w:val="18"/>
                <w:lang w:val="en-GB" w:eastAsia="de-AT"/>
              </w:rPr>
              <w:t>2</w:t>
            </w:r>
          </w:p>
        </w:tc>
        <w:tc>
          <w:tcPr>
            <w:tcW w:w="2677" w:type="dxa"/>
            <w:shd w:val="clear" w:color="auto" w:fill="auto"/>
            <w:noWrap/>
            <w:vAlign w:val="bottom"/>
            <w:hideMark/>
          </w:tcPr>
          <w:p w14:paraId="7ABD6668"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IPPU</w:t>
            </w:r>
          </w:p>
        </w:tc>
        <w:tc>
          <w:tcPr>
            <w:tcW w:w="1059" w:type="dxa"/>
            <w:shd w:val="clear" w:color="auto" w:fill="auto"/>
            <w:noWrap/>
            <w:hideMark/>
          </w:tcPr>
          <w:p w14:paraId="4F0E9BAA"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5,455</w:t>
            </w:r>
          </w:p>
        </w:tc>
        <w:tc>
          <w:tcPr>
            <w:tcW w:w="1059" w:type="dxa"/>
            <w:shd w:val="clear" w:color="auto" w:fill="auto"/>
            <w:noWrap/>
            <w:hideMark/>
          </w:tcPr>
          <w:p w14:paraId="7E76BA92"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4,729</w:t>
            </w:r>
          </w:p>
        </w:tc>
        <w:tc>
          <w:tcPr>
            <w:tcW w:w="1059" w:type="dxa"/>
            <w:shd w:val="clear" w:color="auto" w:fill="auto"/>
            <w:noWrap/>
            <w:hideMark/>
          </w:tcPr>
          <w:p w14:paraId="2BE06FDF"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4,660</w:t>
            </w:r>
          </w:p>
        </w:tc>
        <w:tc>
          <w:tcPr>
            <w:tcW w:w="1059" w:type="dxa"/>
            <w:shd w:val="clear" w:color="auto" w:fill="auto"/>
            <w:noWrap/>
            <w:hideMark/>
          </w:tcPr>
          <w:p w14:paraId="5C30892A"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3,883</w:t>
            </w:r>
          </w:p>
        </w:tc>
        <w:tc>
          <w:tcPr>
            <w:tcW w:w="1181" w:type="dxa"/>
            <w:shd w:val="clear" w:color="auto" w:fill="auto"/>
            <w:noWrap/>
            <w:hideMark/>
          </w:tcPr>
          <w:p w14:paraId="4D0AF137"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-8.4%</w:t>
            </w:r>
          </w:p>
        </w:tc>
        <w:tc>
          <w:tcPr>
            <w:tcW w:w="1182" w:type="dxa"/>
            <w:shd w:val="clear" w:color="auto" w:fill="auto"/>
            <w:noWrap/>
            <w:hideMark/>
          </w:tcPr>
          <w:p w14:paraId="37D4A678"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7.2%</w:t>
            </w:r>
          </w:p>
        </w:tc>
      </w:tr>
      <w:tr w:rsidR="0075181F" w:rsidRPr="009B5B67" w14:paraId="2DBDF7EB" w14:textId="77777777" w:rsidTr="0094603E">
        <w:trPr>
          <w:trHeight w:val="300"/>
        </w:trPr>
        <w:tc>
          <w:tcPr>
            <w:tcW w:w="579" w:type="dxa"/>
          </w:tcPr>
          <w:p w14:paraId="3634195A"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r w:rsidRPr="009B5B67">
              <w:rPr>
                <w:rFonts w:eastAsia="Times New Roman" w:cs="Arial"/>
                <w:color w:val="000000"/>
                <w:sz w:val="18"/>
                <w:szCs w:val="18"/>
                <w:lang w:val="en-GB" w:eastAsia="de-AT"/>
              </w:rPr>
              <w:t>3</w:t>
            </w:r>
          </w:p>
        </w:tc>
        <w:tc>
          <w:tcPr>
            <w:tcW w:w="2677" w:type="dxa"/>
            <w:shd w:val="clear" w:color="auto" w:fill="auto"/>
            <w:noWrap/>
            <w:vAlign w:val="bottom"/>
            <w:hideMark/>
          </w:tcPr>
          <w:p w14:paraId="07BD683E"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Agriculture</w:t>
            </w:r>
          </w:p>
        </w:tc>
        <w:tc>
          <w:tcPr>
            <w:tcW w:w="1059" w:type="dxa"/>
            <w:shd w:val="clear" w:color="auto" w:fill="auto"/>
            <w:noWrap/>
            <w:hideMark/>
          </w:tcPr>
          <w:p w14:paraId="0854BE23"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6,186</w:t>
            </w:r>
          </w:p>
        </w:tc>
        <w:tc>
          <w:tcPr>
            <w:tcW w:w="1059" w:type="dxa"/>
            <w:shd w:val="clear" w:color="auto" w:fill="auto"/>
            <w:noWrap/>
            <w:hideMark/>
          </w:tcPr>
          <w:p w14:paraId="360EED41"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6,238</w:t>
            </w:r>
          </w:p>
        </w:tc>
        <w:tc>
          <w:tcPr>
            <w:tcW w:w="1059" w:type="dxa"/>
            <w:shd w:val="clear" w:color="auto" w:fill="auto"/>
            <w:noWrap/>
            <w:hideMark/>
          </w:tcPr>
          <w:p w14:paraId="75B0945A"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5,305</w:t>
            </w:r>
          </w:p>
        </w:tc>
        <w:tc>
          <w:tcPr>
            <w:tcW w:w="1059" w:type="dxa"/>
            <w:shd w:val="clear" w:color="auto" w:fill="auto"/>
            <w:noWrap/>
            <w:hideMark/>
          </w:tcPr>
          <w:p w14:paraId="12383450"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5,259</w:t>
            </w:r>
          </w:p>
        </w:tc>
        <w:tc>
          <w:tcPr>
            <w:tcW w:w="1181" w:type="dxa"/>
            <w:shd w:val="clear" w:color="auto" w:fill="auto"/>
            <w:noWrap/>
            <w:hideMark/>
          </w:tcPr>
          <w:p w14:paraId="113B9F08"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-27.4%</w:t>
            </w:r>
          </w:p>
        </w:tc>
        <w:tc>
          <w:tcPr>
            <w:tcW w:w="1182" w:type="dxa"/>
            <w:shd w:val="clear" w:color="auto" w:fill="auto"/>
            <w:noWrap/>
            <w:hideMark/>
          </w:tcPr>
          <w:p w14:paraId="3750B1B3"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-15.3%</w:t>
            </w:r>
          </w:p>
        </w:tc>
      </w:tr>
      <w:tr w:rsidR="0075181F" w:rsidRPr="009B5B67" w14:paraId="39C0EE15" w14:textId="77777777" w:rsidTr="0094603E">
        <w:trPr>
          <w:trHeight w:val="300"/>
        </w:trPr>
        <w:tc>
          <w:tcPr>
            <w:tcW w:w="579" w:type="dxa"/>
          </w:tcPr>
          <w:p w14:paraId="6BDCCEAE"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r w:rsidRPr="009B5B67">
              <w:rPr>
                <w:rFonts w:eastAsia="Times New Roman" w:cs="Arial"/>
                <w:color w:val="000000"/>
                <w:sz w:val="18"/>
                <w:szCs w:val="18"/>
                <w:lang w:val="en-GB" w:eastAsia="de-AT"/>
              </w:rPr>
              <w:t>5</w:t>
            </w:r>
          </w:p>
        </w:tc>
        <w:tc>
          <w:tcPr>
            <w:tcW w:w="2677" w:type="dxa"/>
            <w:shd w:val="clear" w:color="auto" w:fill="auto"/>
            <w:noWrap/>
            <w:vAlign w:val="bottom"/>
            <w:hideMark/>
          </w:tcPr>
          <w:p w14:paraId="10F1E106"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 xml:space="preserve">Waste </w:t>
            </w:r>
          </w:p>
        </w:tc>
        <w:tc>
          <w:tcPr>
            <w:tcW w:w="1059" w:type="dxa"/>
            <w:shd w:val="clear" w:color="auto" w:fill="auto"/>
            <w:noWrap/>
            <w:hideMark/>
          </w:tcPr>
          <w:p w14:paraId="2A5267BE"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3,868</w:t>
            </w:r>
          </w:p>
        </w:tc>
        <w:tc>
          <w:tcPr>
            <w:tcW w:w="1059" w:type="dxa"/>
            <w:shd w:val="clear" w:color="auto" w:fill="auto"/>
            <w:noWrap/>
            <w:hideMark/>
          </w:tcPr>
          <w:p w14:paraId="36629F38"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2,800</w:t>
            </w:r>
          </w:p>
        </w:tc>
        <w:tc>
          <w:tcPr>
            <w:tcW w:w="1059" w:type="dxa"/>
            <w:shd w:val="clear" w:color="auto" w:fill="auto"/>
            <w:noWrap/>
            <w:hideMark/>
          </w:tcPr>
          <w:p w14:paraId="0082EDDB"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2,730</w:t>
            </w:r>
          </w:p>
        </w:tc>
        <w:tc>
          <w:tcPr>
            <w:tcW w:w="1059" w:type="dxa"/>
            <w:shd w:val="clear" w:color="auto" w:fill="auto"/>
            <w:noWrap/>
            <w:hideMark/>
          </w:tcPr>
          <w:p w14:paraId="39EB9B1D"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2,709</w:t>
            </w:r>
          </w:p>
        </w:tc>
        <w:tc>
          <w:tcPr>
            <w:tcW w:w="1181" w:type="dxa"/>
            <w:shd w:val="clear" w:color="auto" w:fill="auto"/>
            <w:noWrap/>
            <w:hideMark/>
          </w:tcPr>
          <w:p w14:paraId="1EAA75FD"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-38.7%</w:t>
            </w:r>
          </w:p>
        </w:tc>
        <w:tc>
          <w:tcPr>
            <w:tcW w:w="1182" w:type="dxa"/>
            <w:shd w:val="clear" w:color="auto" w:fill="auto"/>
            <w:noWrap/>
            <w:hideMark/>
          </w:tcPr>
          <w:p w14:paraId="0C7D30AC"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color w:val="000000"/>
                <w:sz w:val="18"/>
                <w:szCs w:val="18"/>
                <w:lang w:val="en-GB"/>
              </w:rPr>
              <w:t>-13.1%</w:t>
            </w:r>
          </w:p>
        </w:tc>
      </w:tr>
      <w:tr w:rsidR="0075181F" w:rsidRPr="009B5B67" w14:paraId="6C858FF0" w14:textId="77777777" w:rsidTr="0094603E">
        <w:trPr>
          <w:trHeight w:val="300"/>
        </w:trPr>
        <w:tc>
          <w:tcPr>
            <w:tcW w:w="579" w:type="dxa"/>
          </w:tcPr>
          <w:p w14:paraId="397A6CED" w14:textId="77777777" w:rsidR="0075181F" w:rsidRPr="009B5B67" w:rsidRDefault="0075181F" w:rsidP="0094603E">
            <w:pPr>
              <w:spacing w:before="60" w:after="40" w:line="240" w:lineRule="auto"/>
              <w:jc w:val="center"/>
              <w:rPr>
                <w:rFonts w:eastAsia="Times New Roman" w:cs="Arial"/>
                <w:b/>
                <w:bCs/>
                <w:color w:val="000000"/>
                <w:sz w:val="18"/>
                <w:szCs w:val="18"/>
                <w:lang w:val="en-GB" w:eastAsia="de-AT"/>
              </w:rPr>
            </w:pPr>
          </w:p>
        </w:tc>
        <w:tc>
          <w:tcPr>
            <w:tcW w:w="2677" w:type="dxa"/>
            <w:shd w:val="clear" w:color="auto" w:fill="auto"/>
            <w:noWrap/>
            <w:vAlign w:val="bottom"/>
            <w:hideMark/>
          </w:tcPr>
          <w:p w14:paraId="28B19D03" w14:textId="77777777" w:rsidR="0075181F" w:rsidRPr="009B5B67" w:rsidRDefault="0075181F" w:rsidP="0094603E">
            <w:pPr>
              <w:spacing w:before="60" w:after="40" w:line="240" w:lineRule="auto"/>
              <w:jc w:val="left"/>
              <w:rPr>
                <w:rFonts w:eastAsia="Times New Roman" w:cs="Arial"/>
                <w:b/>
                <w:bCs/>
                <w:color w:val="000000"/>
                <w:sz w:val="18"/>
                <w:szCs w:val="18"/>
                <w:lang w:val="en-GB" w:eastAsia="de-AT"/>
              </w:rPr>
            </w:pPr>
            <w:proofErr w:type="spellStart"/>
            <w:r w:rsidRPr="009B5B67">
              <w:rPr>
                <w:rFonts w:eastAsia="Times New Roman" w:cs="Arial"/>
                <w:b/>
                <w:bCs/>
                <w:color w:val="000000"/>
                <w:sz w:val="18"/>
                <w:szCs w:val="18"/>
                <w:lang w:val="en-GB" w:eastAsia="de-AT"/>
              </w:rPr>
              <w:t>TotaL</w:t>
            </w:r>
            <w:proofErr w:type="spellEnd"/>
            <w:r w:rsidRPr="009B5B67">
              <w:rPr>
                <w:rFonts w:eastAsia="Times New Roman" w:cs="Arial"/>
                <w:b/>
                <w:bCs/>
                <w:color w:val="000000"/>
                <w:sz w:val="18"/>
                <w:szCs w:val="18"/>
                <w:lang w:val="en-GB" w:eastAsia="de-AT"/>
              </w:rPr>
              <w:t xml:space="preserve"> (without LULUCF)</w:t>
            </w:r>
          </w:p>
        </w:tc>
        <w:tc>
          <w:tcPr>
            <w:tcW w:w="1059" w:type="dxa"/>
            <w:shd w:val="clear" w:color="auto" w:fill="auto"/>
            <w:noWrap/>
            <w:hideMark/>
          </w:tcPr>
          <w:p w14:paraId="40E1388F" w14:textId="77777777" w:rsidR="0075181F" w:rsidRPr="009B5B67" w:rsidRDefault="0075181F" w:rsidP="0094603E">
            <w:pPr>
              <w:spacing w:before="60" w:after="40" w:line="240" w:lineRule="auto"/>
              <w:jc w:val="right"/>
              <w:rPr>
                <w:rFonts w:eastAsia="Times New Roman" w:cs="Arial"/>
                <w:b/>
                <w:bCs/>
                <w:color w:val="000000"/>
                <w:sz w:val="18"/>
                <w:szCs w:val="18"/>
                <w:lang w:val="en-GB" w:eastAsia="de-AT"/>
              </w:rPr>
            </w:pPr>
            <w:r w:rsidRPr="009B5B67">
              <w:rPr>
                <w:rFonts w:eastAsia="Times New Roman" w:cs="Arial"/>
                <w:b/>
                <w:bCs/>
                <w:color w:val="000000"/>
                <w:sz w:val="18"/>
                <w:szCs w:val="18"/>
                <w:lang w:val="en-GB" w:eastAsia="de-AT"/>
              </w:rPr>
              <w:t>81,526</w:t>
            </w:r>
          </w:p>
        </w:tc>
        <w:tc>
          <w:tcPr>
            <w:tcW w:w="1059" w:type="dxa"/>
            <w:shd w:val="clear" w:color="auto" w:fill="auto"/>
            <w:noWrap/>
            <w:hideMark/>
          </w:tcPr>
          <w:p w14:paraId="1B438FD5" w14:textId="77777777" w:rsidR="0075181F" w:rsidRPr="009B5B67" w:rsidRDefault="0075181F" w:rsidP="0094603E">
            <w:pPr>
              <w:spacing w:before="60" w:after="40" w:line="240" w:lineRule="auto"/>
              <w:jc w:val="right"/>
              <w:rPr>
                <w:rFonts w:eastAsia="Times New Roman" w:cs="Arial"/>
                <w:b/>
                <w:bCs/>
                <w:color w:val="000000"/>
                <w:sz w:val="18"/>
                <w:szCs w:val="18"/>
                <w:lang w:val="en-GB" w:eastAsia="de-AT"/>
              </w:rPr>
            </w:pPr>
            <w:r w:rsidRPr="009B5B67">
              <w:rPr>
                <w:rFonts w:eastAsia="Times New Roman" w:cs="Arial"/>
                <w:b/>
                <w:bCs/>
                <w:color w:val="000000"/>
                <w:sz w:val="18"/>
                <w:szCs w:val="18"/>
                <w:lang w:val="en-GB" w:eastAsia="de-AT"/>
              </w:rPr>
              <w:t>68,093</w:t>
            </w:r>
          </w:p>
        </w:tc>
        <w:tc>
          <w:tcPr>
            <w:tcW w:w="1059" w:type="dxa"/>
            <w:shd w:val="clear" w:color="auto" w:fill="auto"/>
            <w:noWrap/>
            <w:hideMark/>
          </w:tcPr>
          <w:p w14:paraId="09F1959B" w14:textId="77777777" w:rsidR="0075181F" w:rsidRPr="009B5B67" w:rsidRDefault="0075181F" w:rsidP="0094603E">
            <w:pPr>
              <w:spacing w:before="60" w:after="40" w:line="240" w:lineRule="auto"/>
              <w:jc w:val="right"/>
              <w:rPr>
                <w:rFonts w:eastAsia="Times New Roman" w:cs="Arial"/>
                <w:b/>
                <w:bCs/>
                <w:color w:val="000000"/>
                <w:sz w:val="18"/>
                <w:szCs w:val="18"/>
                <w:lang w:val="en-GB" w:eastAsia="de-AT"/>
              </w:rPr>
            </w:pPr>
            <w:r w:rsidRPr="009B5B67">
              <w:rPr>
                <w:rFonts w:eastAsia="Times New Roman" w:cs="Arial"/>
                <w:b/>
                <w:bCs/>
                <w:color w:val="000000"/>
                <w:sz w:val="18"/>
                <w:szCs w:val="18"/>
                <w:lang w:val="en-GB" w:eastAsia="de-AT"/>
              </w:rPr>
              <w:t>62,650</w:t>
            </w:r>
          </w:p>
        </w:tc>
        <w:tc>
          <w:tcPr>
            <w:tcW w:w="1059" w:type="dxa"/>
            <w:shd w:val="clear" w:color="auto" w:fill="auto"/>
            <w:noWrap/>
            <w:hideMark/>
          </w:tcPr>
          <w:p w14:paraId="140509C4" w14:textId="77777777" w:rsidR="0075181F" w:rsidRPr="009B5B67" w:rsidRDefault="0075181F" w:rsidP="0094603E">
            <w:pPr>
              <w:spacing w:before="60" w:after="40" w:line="240" w:lineRule="auto"/>
              <w:jc w:val="right"/>
              <w:rPr>
                <w:rFonts w:eastAsia="Times New Roman" w:cs="Arial"/>
                <w:b/>
                <w:bCs/>
                <w:color w:val="000000"/>
                <w:sz w:val="18"/>
                <w:szCs w:val="18"/>
                <w:lang w:val="en-GB" w:eastAsia="de-AT"/>
              </w:rPr>
            </w:pPr>
            <w:r w:rsidRPr="009B5B67">
              <w:rPr>
                <w:rFonts w:eastAsia="Times New Roman" w:cs="Arial"/>
                <w:b/>
                <w:bCs/>
                <w:color w:val="000000"/>
                <w:sz w:val="18"/>
                <w:szCs w:val="18"/>
                <w:lang w:val="en-GB" w:eastAsia="de-AT"/>
              </w:rPr>
              <w:t>61,233</w:t>
            </w:r>
          </w:p>
        </w:tc>
        <w:tc>
          <w:tcPr>
            <w:tcW w:w="1181" w:type="dxa"/>
            <w:shd w:val="clear" w:color="auto" w:fill="auto"/>
            <w:noWrap/>
            <w:hideMark/>
          </w:tcPr>
          <w:p w14:paraId="20546F5C" w14:textId="77777777" w:rsidR="0075181F" w:rsidRPr="009B5B67" w:rsidRDefault="0075181F" w:rsidP="0094603E">
            <w:pPr>
              <w:spacing w:before="60" w:after="40" w:line="240" w:lineRule="auto"/>
              <w:jc w:val="right"/>
              <w:rPr>
                <w:rFonts w:eastAsia="Times New Roman" w:cs="Arial"/>
                <w:b/>
                <w:bCs/>
                <w:color w:val="000000"/>
                <w:sz w:val="18"/>
                <w:szCs w:val="18"/>
                <w:lang w:val="en-GB" w:eastAsia="de-AT"/>
              </w:rPr>
            </w:pPr>
            <w:r w:rsidRPr="009B5B67">
              <w:rPr>
                <w:rFonts w:cs="Arial"/>
                <w:b/>
                <w:bCs/>
                <w:color w:val="000000"/>
                <w:sz w:val="18"/>
                <w:szCs w:val="18"/>
                <w:lang w:val="en-GB"/>
              </w:rPr>
              <w:t>-33.3%</w:t>
            </w:r>
          </w:p>
        </w:tc>
        <w:tc>
          <w:tcPr>
            <w:tcW w:w="1182" w:type="dxa"/>
            <w:shd w:val="clear" w:color="auto" w:fill="auto"/>
            <w:noWrap/>
            <w:hideMark/>
          </w:tcPr>
          <w:p w14:paraId="6240D704" w14:textId="77777777" w:rsidR="0075181F" w:rsidRPr="009B5B67" w:rsidRDefault="0075181F" w:rsidP="0094603E">
            <w:pPr>
              <w:spacing w:before="60" w:after="40" w:line="240" w:lineRule="auto"/>
              <w:jc w:val="right"/>
              <w:rPr>
                <w:rFonts w:eastAsia="Times New Roman" w:cs="Arial"/>
                <w:b/>
                <w:bCs/>
                <w:color w:val="000000"/>
                <w:sz w:val="18"/>
                <w:szCs w:val="18"/>
                <w:lang w:val="en-GB" w:eastAsia="de-AT"/>
              </w:rPr>
            </w:pPr>
            <w:r w:rsidRPr="009B5B67">
              <w:rPr>
                <w:rFonts w:cs="Arial"/>
                <w:b/>
                <w:bCs/>
                <w:color w:val="000000"/>
                <w:sz w:val="18"/>
                <w:szCs w:val="18"/>
                <w:lang w:val="en-GB"/>
              </w:rPr>
              <w:t>-13.2%</w:t>
            </w:r>
          </w:p>
        </w:tc>
      </w:tr>
      <w:tr w:rsidR="0075181F" w:rsidRPr="009B5B67" w14:paraId="152DE9C2" w14:textId="77777777" w:rsidTr="0094603E">
        <w:trPr>
          <w:trHeight w:val="300"/>
        </w:trPr>
        <w:tc>
          <w:tcPr>
            <w:tcW w:w="579" w:type="dxa"/>
          </w:tcPr>
          <w:p w14:paraId="5AEFE212"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r w:rsidRPr="009B5B67">
              <w:rPr>
                <w:rFonts w:eastAsia="Times New Roman" w:cs="Arial"/>
                <w:color w:val="000000"/>
                <w:sz w:val="18"/>
                <w:szCs w:val="18"/>
                <w:lang w:val="en-GB" w:eastAsia="de-AT"/>
              </w:rPr>
              <w:t>4</w:t>
            </w:r>
          </w:p>
        </w:tc>
        <w:tc>
          <w:tcPr>
            <w:tcW w:w="2677" w:type="dxa"/>
            <w:shd w:val="clear" w:color="auto" w:fill="auto"/>
            <w:noWrap/>
            <w:vAlign w:val="bottom"/>
            <w:hideMark/>
          </w:tcPr>
          <w:p w14:paraId="3FC0BE5B"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LULUCF</w:t>
            </w:r>
          </w:p>
        </w:tc>
        <w:tc>
          <w:tcPr>
            <w:tcW w:w="1059" w:type="dxa"/>
            <w:shd w:val="clear" w:color="auto" w:fill="auto"/>
            <w:noWrap/>
            <w:hideMark/>
          </w:tcPr>
          <w:p w14:paraId="60537F86"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-1,432</w:t>
            </w:r>
          </w:p>
        </w:tc>
        <w:tc>
          <w:tcPr>
            <w:tcW w:w="1059" w:type="dxa"/>
            <w:shd w:val="clear" w:color="auto" w:fill="auto"/>
            <w:noWrap/>
            <w:hideMark/>
          </w:tcPr>
          <w:p w14:paraId="7E50290B"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-7,090</w:t>
            </w:r>
          </w:p>
        </w:tc>
        <w:tc>
          <w:tcPr>
            <w:tcW w:w="1059" w:type="dxa"/>
            <w:shd w:val="clear" w:color="auto" w:fill="auto"/>
            <w:noWrap/>
            <w:hideMark/>
          </w:tcPr>
          <w:p w14:paraId="64438461"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-5,627</w:t>
            </w:r>
          </w:p>
        </w:tc>
        <w:tc>
          <w:tcPr>
            <w:tcW w:w="1059" w:type="dxa"/>
            <w:shd w:val="clear" w:color="auto" w:fill="auto"/>
            <w:noWrap/>
            <w:hideMark/>
          </w:tcPr>
          <w:p w14:paraId="0D3A60F9"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-4,533</w:t>
            </w:r>
          </w:p>
        </w:tc>
        <w:tc>
          <w:tcPr>
            <w:tcW w:w="1181" w:type="dxa"/>
            <w:shd w:val="clear" w:color="auto" w:fill="auto"/>
            <w:noWrap/>
            <w:hideMark/>
          </w:tcPr>
          <w:p w14:paraId="13A6DADF"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sz w:val="18"/>
                <w:szCs w:val="18"/>
                <w:lang w:val="en-GB"/>
              </w:rPr>
              <w:t>359.2%</w:t>
            </w:r>
          </w:p>
        </w:tc>
        <w:tc>
          <w:tcPr>
            <w:tcW w:w="1182" w:type="dxa"/>
            <w:shd w:val="clear" w:color="auto" w:fill="auto"/>
            <w:noWrap/>
            <w:hideMark/>
          </w:tcPr>
          <w:p w14:paraId="03274926"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sz w:val="18"/>
                <w:szCs w:val="18"/>
                <w:lang w:val="en-GB"/>
              </w:rPr>
              <w:t>16.9%</w:t>
            </w:r>
          </w:p>
        </w:tc>
      </w:tr>
      <w:tr w:rsidR="0075181F" w:rsidRPr="009B5B67" w14:paraId="208641E6" w14:textId="77777777" w:rsidTr="0094603E">
        <w:trPr>
          <w:trHeight w:val="300"/>
        </w:trPr>
        <w:tc>
          <w:tcPr>
            <w:tcW w:w="579" w:type="dxa"/>
          </w:tcPr>
          <w:p w14:paraId="1D6D7EBD" w14:textId="77777777" w:rsidR="0075181F" w:rsidRPr="009B5B67" w:rsidRDefault="0075181F" w:rsidP="0094603E">
            <w:pPr>
              <w:spacing w:before="60" w:after="40" w:line="240" w:lineRule="auto"/>
              <w:jc w:val="center"/>
              <w:rPr>
                <w:rFonts w:eastAsia="Times New Roman" w:cs="Arial"/>
                <w:color w:val="000000"/>
                <w:sz w:val="18"/>
                <w:szCs w:val="18"/>
                <w:lang w:val="en-GB" w:eastAsia="de-AT"/>
              </w:rPr>
            </w:pPr>
          </w:p>
        </w:tc>
        <w:tc>
          <w:tcPr>
            <w:tcW w:w="2677" w:type="dxa"/>
            <w:shd w:val="clear" w:color="auto" w:fill="auto"/>
            <w:noWrap/>
            <w:vAlign w:val="bottom"/>
            <w:hideMark/>
          </w:tcPr>
          <w:p w14:paraId="0CA3D92D" w14:textId="77777777" w:rsidR="0075181F" w:rsidRPr="009B5B67" w:rsidRDefault="0075181F" w:rsidP="0094603E">
            <w:pPr>
              <w:spacing w:before="60" w:after="40" w:line="240" w:lineRule="auto"/>
              <w:jc w:val="left"/>
              <w:rPr>
                <w:rFonts w:eastAsia="Times New Roman" w:cs="Arial"/>
                <w:color w:val="000000"/>
                <w:sz w:val="18"/>
                <w:szCs w:val="18"/>
                <w:lang w:val="en-GB" w:eastAsia="de-AT"/>
              </w:rPr>
            </w:pPr>
            <w:r w:rsidRPr="009B5B67">
              <w:rPr>
                <w:rFonts w:eastAsia="Times New Roman" w:cs="Arial"/>
                <w:color w:val="000000"/>
                <w:sz w:val="18"/>
                <w:szCs w:val="18"/>
                <w:lang w:val="en-GB" w:eastAsia="de-AT"/>
              </w:rPr>
              <w:t>Totals with LULUCF</w:t>
            </w:r>
          </w:p>
        </w:tc>
        <w:tc>
          <w:tcPr>
            <w:tcW w:w="1059" w:type="dxa"/>
            <w:shd w:val="clear" w:color="auto" w:fill="auto"/>
            <w:noWrap/>
            <w:hideMark/>
          </w:tcPr>
          <w:p w14:paraId="04CF55E3"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80,094</w:t>
            </w:r>
          </w:p>
        </w:tc>
        <w:tc>
          <w:tcPr>
            <w:tcW w:w="1059" w:type="dxa"/>
            <w:shd w:val="clear" w:color="auto" w:fill="auto"/>
            <w:noWrap/>
            <w:hideMark/>
          </w:tcPr>
          <w:p w14:paraId="211EA455"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61,002</w:t>
            </w:r>
          </w:p>
        </w:tc>
        <w:tc>
          <w:tcPr>
            <w:tcW w:w="1059" w:type="dxa"/>
            <w:shd w:val="clear" w:color="auto" w:fill="auto"/>
            <w:noWrap/>
            <w:hideMark/>
          </w:tcPr>
          <w:p w14:paraId="2F931391" w14:textId="77777777" w:rsidR="0075181F" w:rsidRPr="009B5B67" w:rsidRDefault="0075181F" w:rsidP="0094603E">
            <w:pPr>
              <w:spacing w:before="60" w:after="40" w:line="240" w:lineRule="auto"/>
              <w:jc w:val="right"/>
              <w:rPr>
                <w:rFonts w:eastAsia="Times New Roman" w:cs="Arial"/>
                <w:color w:val="FF0000"/>
                <w:sz w:val="18"/>
                <w:szCs w:val="18"/>
                <w:lang w:val="en-GB" w:eastAsia="de-AT"/>
              </w:rPr>
            </w:pPr>
            <w:r w:rsidRPr="009B5B67">
              <w:rPr>
                <w:rFonts w:eastAsia="Times New Roman" w:cs="Arial"/>
                <w:sz w:val="18"/>
                <w:szCs w:val="18"/>
                <w:lang w:val="en-GB" w:eastAsia="de-AT"/>
              </w:rPr>
              <w:t>57,023</w:t>
            </w:r>
          </w:p>
        </w:tc>
        <w:tc>
          <w:tcPr>
            <w:tcW w:w="1059" w:type="dxa"/>
            <w:shd w:val="clear" w:color="auto" w:fill="auto"/>
            <w:noWrap/>
            <w:hideMark/>
          </w:tcPr>
          <w:p w14:paraId="38626E7A"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eastAsia="Times New Roman" w:cs="Arial"/>
                <w:color w:val="000000"/>
                <w:sz w:val="18"/>
                <w:szCs w:val="18"/>
                <w:lang w:val="en-GB" w:eastAsia="de-AT"/>
              </w:rPr>
              <w:t>56,700</w:t>
            </w:r>
          </w:p>
        </w:tc>
        <w:tc>
          <w:tcPr>
            <w:tcW w:w="1181" w:type="dxa"/>
            <w:shd w:val="clear" w:color="auto" w:fill="auto"/>
            <w:noWrap/>
            <w:hideMark/>
          </w:tcPr>
          <w:p w14:paraId="33351F21"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sz w:val="18"/>
                <w:szCs w:val="18"/>
                <w:lang w:val="en-GB"/>
              </w:rPr>
              <w:t>-40.3%</w:t>
            </w:r>
          </w:p>
        </w:tc>
        <w:tc>
          <w:tcPr>
            <w:tcW w:w="1182" w:type="dxa"/>
            <w:shd w:val="clear" w:color="auto" w:fill="auto"/>
            <w:noWrap/>
            <w:hideMark/>
          </w:tcPr>
          <w:p w14:paraId="17F8028B" w14:textId="77777777" w:rsidR="0075181F" w:rsidRPr="009B5B67" w:rsidRDefault="0075181F" w:rsidP="0094603E">
            <w:pPr>
              <w:spacing w:before="60" w:after="40" w:line="240" w:lineRule="auto"/>
              <w:jc w:val="right"/>
              <w:rPr>
                <w:rFonts w:eastAsia="Times New Roman" w:cs="Arial"/>
                <w:color w:val="000000"/>
                <w:sz w:val="18"/>
                <w:szCs w:val="18"/>
                <w:lang w:val="en-GB" w:eastAsia="de-AT"/>
              </w:rPr>
            </w:pPr>
            <w:r w:rsidRPr="009B5B67">
              <w:rPr>
                <w:rFonts w:cs="Arial"/>
                <w:sz w:val="18"/>
                <w:szCs w:val="18"/>
                <w:lang w:val="en-GB"/>
              </w:rPr>
              <w:t>-16.1%</w:t>
            </w:r>
          </w:p>
        </w:tc>
      </w:tr>
    </w:tbl>
    <w:p w14:paraId="599ADF42" w14:textId="77777777" w:rsidR="0075181F" w:rsidRPr="009B5B67" w:rsidRDefault="0094603E" w:rsidP="0094603E">
      <w:pPr>
        <w:pStyle w:val="Caption"/>
        <w:spacing w:before="120" w:after="60"/>
        <w:ind w:left="1134" w:hanging="1134"/>
        <w:rPr>
          <w:lang w:val="en-GB"/>
        </w:rPr>
      </w:pPr>
      <w:r w:rsidRPr="009B5B67">
        <w:rPr>
          <w:lang w:val="en-GB"/>
        </w:rPr>
        <w:t xml:space="preserve">Table </w:t>
      </w:r>
      <w:r w:rsidRPr="009B5B67">
        <w:rPr>
          <w:lang w:val="en-GB"/>
        </w:rPr>
        <w:fldChar w:fldCharType="begin"/>
      </w:r>
      <w:r w:rsidRPr="009B5B67">
        <w:rPr>
          <w:lang w:val="en-GB"/>
        </w:rPr>
        <w:instrText xml:space="preserve"> SEQ Table \* ARABIC </w:instrText>
      </w:r>
      <w:r w:rsidRPr="009B5B67">
        <w:rPr>
          <w:lang w:val="en-GB"/>
        </w:rPr>
        <w:fldChar w:fldCharType="separate"/>
      </w:r>
      <w:r w:rsidRPr="009B5B67">
        <w:rPr>
          <w:lang w:val="en-GB"/>
        </w:rPr>
        <w:t>1</w:t>
      </w:r>
      <w:r w:rsidRPr="009B5B67">
        <w:rPr>
          <w:lang w:val="en-GB"/>
        </w:rPr>
        <w:fldChar w:fldCharType="end"/>
      </w:r>
      <w:r w:rsidRPr="009B5B67">
        <w:rPr>
          <w:lang w:val="en-GB"/>
        </w:rPr>
        <w:tab/>
        <w:t>Serbia’s total GHG emissions by sector</w:t>
      </w:r>
    </w:p>
    <w:p w14:paraId="2573C47D" w14:textId="77777777" w:rsidR="0075181F" w:rsidRPr="009B5B67" w:rsidRDefault="0094603E" w:rsidP="0094603E">
      <w:pPr>
        <w:pStyle w:val="Caption"/>
        <w:keepNext/>
        <w:keepLines/>
        <w:spacing w:before="300" w:after="60"/>
        <w:ind w:left="1134" w:hanging="1134"/>
        <w:rPr>
          <w:lang w:val="en-GB"/>
        </w:rPr>
      </w:pPr>
      <w:bookmarkStart w:id="50" w:name="_Toc526940723"/>
      <w:bookmarkStart w:id="51" w:name="_Toc524696958"/>
      <w:bookmarkStart w:id="52" w:name="_Toc29499735"/>
      <w:bookmarkStart w:id="53" w:name="_Toc56415846"/>
      <w:r w:rsidRPr="009B5B67">
        <w:rPr>
          <w:lang w:val="en-GB"/>
        </w:rPr>
        <w:t xml:space="preserve">Figure </w:t>
      </w:r>
      <w:r w:rsidRPr="009B5B67">
        <w:rPr>
          <w:lang w:val="en-GB"/>
        </w:rPr>
        <w:fldChar w:fldCharType="begin"/>
      </w:r>
      <w:r w:rsidRPr="009B5B67">
        <w:rPr>
          <w:lang w:val="en-GB"/>
        </w:rPr>
        <w:instrText xml:space="preserve"> SEQ Figure \* ARABIC </w:instrText>
      </w:r>
      <w:r w:rsidRPr="009B5B67">
        <w:rPr>
          <w:lang w:val="en-GB"/>
        </w:rPr>
        <w:fldChar w:fldCharType="separate"/>
      </w:r>
      <w:r w:rsidRPr="009B5B67">
        <w:rPr>
          <w:noProof/>
          <w:lang w:val="en-GB"/>
        </w:rPr>
        <w:t>2</w:t>
      </w:r>
      <w:r w:rsidRPr="009B5B67">
        <w:rPr>
          <w:lang w:val="en-GB"/>
        </w:rPr>
        <w:fldChar w:fldCharType="end"/>
      </w:r>
      <w:r w:rsidRPr="009B5B67">
        <w:rPr>
          <w:lang w:val="en-GB"/>
        </w:rPr>
        <w:t>:</w:t>
      </w:r>
      <w:r w:rsidR="0075181F" w:rsidRPr="009B5B67">
        <w:rPr>
          <w:lang w:val="en-GB"/>
        </w:rPr>
        <w:t xml:space="preserve"> Serbia’s GHG Emissions – Key sectors in 201</w:t>
      </w:r>
      <w:bookmarkEnd w:id="50"/>
      <w:bookmarkEnd w:id="51"/>
      <w:r w:rsidR="0075181F" w:rsidRPr="009B5B67">
        <w:rPr>
          <w:lang w:val="en-GB"/>
        </w:rPr>
        <w:t>0</w:t>
      </w:r>
      <w:bookmarkEnd w:id="52"/>
      <w:bookmarkEnd w:id="53"/>
    </w:p>
    <w:p w14:paraId="6545BD42" w14:textId="77777777" w:rsidR="0075181F" w:rsidRPr="009B5B67" w:rsidRDefault="0075181F" w:rsidP="0075181F">
      <w:pPr>
        <w:rPr>
          <w:lang w:val="en-GB"/>
        </w:rPr>
      </w:pPr>
      <w:r w:rsidRPr="009B5B67">
        <w:rPr>
          <w:noProof/>
          <w:lang w:eastAsia="de-AT"/>
        </w:rPr>
        <w:drawing>
          <wp:inline distT="0" distB="0" distL="0" distR="0" wp14:anchorId="42E8BE68" wp14:editId="75DD6A27">
            <wp:extent cx="4947313" cy="2606849"/>
            <wp:effectExtent l="0" t="0" r="5715" b="31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58258" cy="2612616"/>
                    </a:xfrm>
                    <a:prstGeom prst="rect">
                      <a:avLst/>
                    </a:prstGeom>
                    <a:noFill/>
                    <a:ln>
                      <a:noFill/>
                    </a:ln>
                  </pic:spPr>
                </pic:pic>
              </a:graphicData>
            </a:graphic>
          </wp:inline>
        </w:drawing>
      </w:r>
    </w:p>
    <w:p w14:paraId="3F7A829D" w14:textId="395A8703" w:rsidR="0075181F" w:rsidRPr="009B5B67" w:rsidRDefault="0075181F" w:rsidP="0075181F">
      <w:pPr>
        <w:rPr>
          <w:lang w:val="en-GB"/>
        </w:rPr>
      </w:pPr>
      <w:r w:rsidRPr="009B5B67">
        <w:rPr>
          <w:lang w:val="en-GB"/>
        </w:rPr>
        <w:t>Predominant GHG sector in Serbia is Energy sector. The Energy sector include Fuel combustion (Energy industries, Manufacturing industries, Transport and Other sectors) and Fugitive emissions from fuels and is accounting for 80% of total GHG emissions in Serbia</w:t>
      </w:r>
      <w:r w:rsidR="009F7048" w:rsidRPr="009B5B67">
        <w:rPr>
          <w:lang w:val="en-GB"/>
        </w:rPr>
        <w:t>,</w:t>
      </w:r>
      <w:r w:rsidRPr="009B5B67">
        <w:rPr>
          <w:lang w:val="en-GB"/>
        </w:rPr>
        <w:t xml:space="preserve"> </w:t>
      </w:r>
      <w:r w:rsidR="009F7048" w:rsidRPr="009B5B67">
        <w:rPr>
          <w:lang w:val="en-GB"/>
        </w:rPr>
        <w:t>f</w:t>
      </w:r>
      <w:r w:rsidRPr="009B5B67">
        <w:rPr>
          <w:lang w:val="en-GB"/>
        </w:rPr>
        <w:t>ollow</w:t>
      </w:r>
      <w:r w:rsidR="009F7048" w:rsidRPr="009B5B67">
        <w:rPr>
          <w:lang w:val="en-GB"/>
        </w:rPr>
        <w:t>ed</w:t>
      </w:r>
      <w:r w:rsidRPr="009B5B67">
        <w:rPr>
          <w:lang w:val="en-GB"/>
        </w:rPr>
        <w:t xml:space="preserve"> by </w:t>
      </w:r>
      <w:r w:rsidR="009F7048" w:rsidRPr="009B5B67">
        <w:rPr>
          <w:lang w:val="en-GB"/>
        </w:rPr>
        <w:t>a</w:t>
      </w:r>
      <w:r w:rsidRPr="009B5B67">
        <w:rPr>
          <w:lang w:val="en-GB"/>
        </w:rPr>
        <w:t xml:space="preserve">griculture </w:t>
      </w:r>
      <w:r w:rsidR="009F7048" w:rsidRPr="009B5B67">
        <w:rPr>
          <w:lang w:val="en-GB"/>
        </w:rPr>
        <w:t>(</w:t>
      </w:r>
      <w:r w:rsidRPr="009B5B67">
        <w:rPr>
          <w:lang w:val="en-GB"/>
        </w:rPr>
        <w:t>8%</w:t>
      </w:r>
      <w:r w:rsidR="009F7048" w:rsidRPr="009B5B67">
        <w:rPr>
          <w:lang w:val="en-GB"/>
        </w:rPr>
        <w:t>)</w:t>
      </w:r>
      <w:r w:rsidRPr="009B5B67">
        <w:rPr>
          <w:lang w:val="en-GB"/>
        </w:rPr>
        <w:t xml:space="preserve">, Industrial processes </w:t>
      </w:r>
      <w:r w:rsidR="009F7048" w:rsidRPr="009B5B67">
        <w:rPr>
          <w:lang w:val="en-GB"/>
        </w:rPr>
        <w:t>(</w:t>
      </w:r>
      <w:r w:rsidRPr="009B5B67">
        <w:rPr>
          <w:lang w:val="en-GB"/>
        </w:rPr>
        <w:t>around 7%</w:t>
      </w:r>
      <w:r w:rsidR="009F7048" w:rsidRPr="009B5B67">
        <w:rPr>
          <w:lang w:val="en-GB"/>
        </w:rPr>
        <w:t>)</w:t>
      </w:r>
      <w:r w:rsidRPr="009B5B67">
        <w:rPr>
          <w:lang w:val="en-GB"/>
        </w:rPr>
        <w:t xml:space="preserve"> and </w:t>
      </w:r>
      <w:r w:rsidR="009F7048" w:rsidRPr="009B5B67">
        <w:rPr>
          <w:lang w:val="en-GB"/>
        </w:rPr>
        <w:t>w</w:t>
      </w:r>
      <w:r w:rsidRPr="009B5B67">
        <w:rPr>
          <w:lang w:val="en-GB"/>
        </w:rPr>
        <w:t xml:space="preserve">aste </w:t>
      </w:r>
      <w:r w:rsidR="009F7048" w:rsidRPr="009B5B67">
        <w:rPr>
          <w:lang w:val="en-GB"/>
        </w:rPr>
        <w:t>(</w:t>
      </w:r>
      <w:r w:rsidRPr="009B5B67">
        <w:rPr>
          <w:lang w:val="en-GB"/>
        </w:rPr>
        <w:t>4%</w:t>
      </w:r>
      <w:r w:rsidR="009F7048" w:rsidRPr="009B5B67">
        <w:rPr>
          <w:lang w:val="en-GB"/>
        </w:rPr>
        <w:t>)</w:t>
      </w:r>
      <w:r w:rsidRPr="009B5B67">
        <w:rPr>
          <w:lang w:val="en-GB"/>
        </w:rPr>
        <w:t xml:space="preserve"> </w:t>
      </w:r>
      <w:r w:rsidR="009F7048" w:rsidRPr="009B5B67">
        <w:rPr>
          <w:lang w:val="en-GB"/>
        </w:rPr>
        <w:t>of</w:t>
      </w:r>
      <w:r w:rsidRPr="009B5B67">
        <w:rPr>
          <w:lang w:val="en-GB"/>
        </w:rPr>
        <w:t xml:space="preserve"> the national GHG total. The </w:t>
      </w:r>
      <w:r w:rsidR="009F7048" w:rsidRPr="009B5B67">
        <w:rPr>
          <w:lang w:val="en-GB"/>
        </w:rPr>
        <w:t xml:space="preserve">sector </w:t>
      </w:r>
      <w:r w:rsidRPr="009B5B67">
        <w:rPr>
          <w:lang w:val="en-GB"/>
        </w:rPr>
        <w:t xml:space="preserve">shares in 2010 </w:t>
      </w:r>
      <w:r w:rsidR="009F7048" w:rsidRPr="009B5B67">
        <w:rPr>
          <w:lang w:val="en-GB"/>
        </w:rPr>
        <w:t>and</w:t>
      </w:r>
      <w:r w:rsidRPr="009B5B67">
        <w:rPr>
          <w:lang w:val="en-GB"/>
        </w:rPr>
        <w:t xml:space="preserve"> 1990 </w:t>
      </w:r>
      <w:r w:rsidR="009F7048" w:rsidRPr="009B5B67">
        <w:rPr>
          <w:lang w:val="en-GB"/>
        </w:rPr>
        <w:t xml:space="preserve">were almost identical </w:t>
      </w:r>
      <w:r w:rsidRPr="009B5B67">
        <w:rPr>
          <w:lang w:val="en-GB"/>
        </w:rPr>
        <w:t xml:space="preserve">which shows that there </w:t>
      </w:r>
      <w:r w:rsidR="009F7048" w:rsidRPr="009B5B67">
        <w:rPr>
          <w:lang w:val="en-GB"/>
        </w:rPr>
        <w:t>have not been any</w:t>
      </w:r>
      <w:r w:rsidRPr="009B5B67">
        <w:rPr>
          <w:lang w:val="en-GB"/>
        </w:rPr>
        <w:t xml:space="preserve"> structural changes in terms of emission sources in Serbia for the last 25 years.</w:t>
      </w:r>
    </w:p>
    <w:p w14:paraId="59F1A19E" w14:textId="77777777" w:rsidR="0075181F" w:rsidRPr="009B5B67" w:rsidRDefault="0094603E" w:rsidP="0075181F">
      <w:pPr>
        <w:pStyle w:val="Caption"/>
        <w:keepNext/>
        <w:spacing w:before="300" w:after="60"/>
        <w:ind w:left="1134" w:hanging="1134"/>
        <w:rPr>
          <w:lang w:val="en-GB"/>
        </w:rPr>
      </w:pPr>
      <w:bookmarkStart w:id="54" w:name="_Toc526940724"/>
      <w:bookmarkStart w:id="55" w:name="_Toc524696959"/>
      <w:bookmarkStart w:id="56" w:name="_Toc29499736"/>
      <w:bookmarkStart w:id="57" w:name="_Toc56415847"/>
      <w:r w:rsidRPr="009B5B67">
        <w:rPr>
          <w:lang w:val="en-GB"/>
        </w:rPr>
        <w:lastRenderedPageBreak/>
        <w:t xml:space="preserve">Figure </w:t>
      </w:r>
      <w:r w:rsidRPr="009B5B67">
        <w:rPr>
          <w:lang w:val="en-GB"/>
        </w:rPr>
        <w:fldChar w:fldCharType="begin"/>
      </w:r>
      <w:r w:rsidRPr="009B5B67">
        <w:rPr>
          <w:lang w:val="en-GB"/>
        </w:rPr>
        <w:instrText xml:space="preserve"> SEQ Figure \* ARABIC </w:instrText>
      </w:r>
      <w:r w:rsidRPr="009B5B67">
        <w:rPr>
          <w:lang w:val="en-GB"/>
        </w:rPr>
        <w:fldChar w:fldCharType="separate"/>
      </w:r>
      <w:r w:rsidRPr="009B5B67">
        <w:rPr>
          <w:noProof/>
          <w:lang w:val="en-GB"/>
        </w:rPr>
        <w:t>4</w:t>
      </w:r>
      <w:r w:rsidRPr="009B5B67">
        <w:rPr>
          <w:lang w:val="en-GB"/>
        </w:rPr>
        <w:fldChar w:fldCharType="end"/>
      </w:r>
      <w:r w:rsidRPr="009B5B67">
        <w:rPr>
          <w:lang w:val="en-GB"/>
        </w:rPr>
        <w:t xml:space="preserve">: </w:t>
      </w:r>
      <w:r w:rsidR="0075181F" w:rsidRPr="009B5B67">
        <w:rPr>
          <w:lang w:val="en-GB"/>
        </w:rPr>
        <w:t>Serbia´s total GHG emissions (per gas)</w:t>
      </w:r>
      <w:bookmarkEnd w:id="54"/>
      <w:bookmarkEnd w:id="55"/>
      <w:bookmarkEnd w:id="56"/>
      <w:bookmarkEnd w:id="57"/>
    </w:p>
    <w:p w14:paraId="25D20969" w14:textId="77777777" w:rsidR="0075181F" w:rsidRPr="009B5B67" w:rsidRDefault="0075181F" w:rsidP="0075181F">
      <w:pPr>
        <w:rPr>
          <w:lang w:val="en-GB"/>
        </w:rPr>
      </w:pPr>
      <w:r w:rsidRPr="009B5B67">
        <w:rPr>
          <w:noProof/>
          <w:lang w:eastAsia="de-AT"/>
        </w:rPr>
        <w:drawing>
          <wp:inline distT="0" distB="0" distL="0" distR="0" wp14:anchorId="4A3E5A38" wp14:editId="55180084">
            <wp:extent cx="4892722" cy="2880518"/>
            <wp:effectExtent l="0" t="0" r="3175"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39521" cy="2908071"/>
                    </a:xfrm>
                    <a:prstGeom prst="rect">
                      <a:avLst/>
                    </a:prstGeom>
                    <a:noFill/>
                  </pic:spPr>
                </pic:pic>
              </a:graphicData>
            </a:graphic>
          </wp:inline>
        </w:drawing>
      </w:r>
    </w:p>
    <w:p w14:paraId="05BFC0EA" w14:textId="696E5EDA" w:rsidR="0075181F" w:rsidRPr="009B5B67" w:rsidRDefault="0075181F" w:rsidP="0075181F">
      <w:pPr>
        <w:rPr>
          <w:lang w:val="en-GB"/>
        </w:rPr>
      </w:pPr>
      <w:r w:rsidRPr="009B5B67">
        <w:rPr>
          <w:lang w:val="en-GB"/>
        </w:rPr>
        <w:t>In terms of greenhouse gases, CO</w:t>
      </w:r>
      <w:r w:rsidRPr="009B5B67">
        <w:rPr>
          <w:vertAlign w:val="subscript"/>
          <w:lang w:val="en-GB"/>
        </w:rPr>
        <w:t xml:space="preserve">2 </w:t>
      </w:r>
      <w:r w:rsidRPr="009B5B67">
        <w:rPr>
          <w:lang w:val="en-GB"/>
        </w:rPr>
        <w:t xml:space="preserve">is </w:t>
      </w:r>
      <w:r w:rsidR="001A5200" w:rsidRPr="009B5B67">
        <w:rPr>
          <w:lang w:val="en-GB"/>
        </w:rPr>
        <w:t xml:space="preserve">the </w:t>
      </w:r>
      <w:r w:rsidRPr="009B5B67">
        <w:rPr>
          <w:lang w:val="en-GB"/>
        </w:rPr>
        <w:t>predominant gas most significantly driv</w:t>
      </w:r>
      <w:r w:rsidR="001A5200" w:rsidRPr="009B5B67">
        <w:rPr>
          <w:lang w:val="en-GB"/>
        </w:rPr>
        <w:t>ing</w:t>
      </w:r>
      <w:r w:rsidRPr="009B5B67">
        <w:rPr>
          <w:lang w:val="en-GB"/>
        </w:rPr>
        <w:t xml:space="preserve"> GHG trends over years</w:t>
      </w:r>
      <w:r w:rsidR="001A5200" w:rsidRPr="009B5B67">
        <w:rPr>
          <w:lang w:val="en-GB"/>
        </w:rPr>
        <w:t>. CO2 emissions</w:t>
      </w:r>
      <w:r w:rsidRPr="009B5B67">
        <w:rPr>
          <w:lang w:val="en-GB"/>
        </w:rPr>
        <w:t xml:space="preserve"> ha</w:t>
      </w:r>
      <w:r w:rsidR="001A5200" w:rsidRPr="009B5B67">
        <w:rPr>
          <w:lang w:val="en-GB"/>
        </w:rPr>
        <w:t>ve</w:t>
      </w:r>
      <w:r w:rsidRPr="009B5B67">
        <w:rPr>
          <w:lang w:val="en-GB"/>
        </w:rPr>
        <w:t xml:space="preserve"> declined </w:t>
      </w:r>
      <w:r w:rsidR="001A5200" w:rsidRPr="009B5B67">
        <w:rPr>
          <w:lang w:val="en-GB"/>
        </w:rPr>
        <w:t>by</w:t>
      </w:r>
      <w:r w:rsidRPr="009B5B67">
        <w:rPr>
          <w:lang w:val="en-GB"/>
        </w:rPr>
        <w:t xml:space="preserve"> 3</w:t>
      </w:r>
      <w:r w:rsidR="00811D25" w:rsidRPr="009B5B67">
        <w:rPr>
          <w:lang w:val="en-GB"/>
        </w:rPr>
        <w:t>.</w:t>
      </w:r>
      <w:r w:rsidRPr="009B5B67">
        <w:rPr>
          <w:lang w:val="en-GB"/>
        </w:rPr>
        <w:t xml:space="preserve">7% in 2015 compared </w:t>
      </w:r>
      <w:r w:rsidR="001A5200" w:rsidRPr="009B5B67">
        <w:rPr>
          <w:lang w:val="en-GB"/>
        </w:rPr>
        <w:t>to</w:t>
      </w:r>
      <w:r w:rsidRPr="009B5B67">
        <w:rPr>
          <w:lang w:val="en-GB"/>
        </w:rPr>
        <w:t xml:space="preserve"> 2010. </w:t>
      </w:r>
      <w:r w:rsidR="001A5200" w:rsidRPr="009B5B67">
        <w:rPr>
          <w:lang w:val="en-GB"/>
        </w:rPr>
        <w:t xml:space="preserve">HFCs </w:t>
      </w:r>
      <w:r w:rsidRPr="009B5B67">
        <w:rPr>
          <w:lang w:val="en-GB"/>
        </w:rPr>
        <w:t xml:space="preserve">emissions </w:t>
      </w:r>
      <w:r w:rsidR="001A5200" w:rsidRPr="009B5B67">
        <w:rPr>
          <w:lang w:val="en-GB"/>
        </w:rPr>
        <w:t>increased most</w:t>
      </w:r>
      <w:r w:rsidRPr="009B5B67">
        <w:rPr>
          <w:lang w:val="en-GB"/>
        </w:rPr>
        <w:t xml:space="preserve"> (72</w:t>
      </w:r>
      <w:r w:rsidR="00811D25" w:rsidRPr="009B5B67">
        <w:rPr>
          <w:lang w:val="en-GB"/>
        </w:rPr>
        <w:t>.</w:t>
      </w:r>
      <w:r w:rsidRPr="009B5B67">
        <w:rPr>
          <w:lang w:val="en-GB"/>
        </w:rPr>
        <w:t xml:space="preserve">4%) in the period 2010 and 2015. </w:t>
      </w:r>
    </w:p>
    <w:p w14:paraId="2858743A" w14:textId="77777777" w:rsidR="0075181F" w:rsidRPr="009B5B67" w:rsidRDefault="00811D25" w:rsidP="00811D25">
      <w:pPr>
        <w:pStyle w:val="Caption"/>
        <w:keepNext/>
        <w:spacing w:before="300" w:after="60"/>
        <w:ind w:left="1134" w:hanging="1134"/>
        <w:rPr>
          <w:lang w:val="en-GB"/>
        </w:rPr>
      </w:pPr>
      <w:bookmarkStart w:id="58" w:name="_Toc526940725"/>
      <w:bookmarkStart w:id="59" w:name="_Toc524696960"/>
      <w:bookmarkStart w:id="60" w:name="_Toc29499737"/>
      <w:bookmarkStart w:id="61" w:name="_Toc56415848"/>
      <w:r w:rsidRPr="009B5B67">
        <w:rPr>
          <w:lang w:val="en-GB"/>
        </w:rPr>
        <w:t xml:space="preserve">Figure </w:t>
      </w:r>
      <w:r w:rsidRPr="009B5B67">
        <w:rPr>
          <w:lang w:val="en-GB"/>
        </w:rPr>
        <w:fldChar w:fldCharType="begin"/>
      </w:r>
      <w:r w:rsidRPr="009B5B67">
        <w:rPr>
          <w:lang w:val="en-GB"/>
        </w:rPr>
        <w:instrText xml:space="preserve"> SEQ Figure \* ARABIC </w:instrText>
      </w:r>
      <w:r w:rsidRPr="009B5B67">
        <w:rPr>
          <w:lang w:val="en-GB"/>
        </w:rPr>
        <w:fldChar w:fldCharType="separate"/>
      </w:r>
      <w:r w:rsidRPr="009B5B67">
        <w:rPr>
          <w:noProof/>
          <w:lang w:val="en-GB"/>
        </w:rPr>
        <w:t>4</w:t>
      </w:r>
      <w:r w:rsidRPr="009B5B67">
        <w:rPr>
          <w:lang w:val="en-GB"/>
        </w:rPr>
        <w:fldChar w:fldCharType="end"/>
      </w:r>
      <w:r w:rsidRPr="009B5B67">
        <w:rPr>
          <w:lang w:val="en-GB"/>
        </w:rPr>
        <w:t xml:space="preserve">: </w:t>
      </w:r>
      <w:r w:rsidR="0075181F" w:rsidRPr="009B5B67">
        <w:rPr>
          <w:lang w:val="en-GB"/>
        </w:rPr>
        <w:t>Serbia´s GHG emissions (per gas)</w:t>
      </w:r>
      <w:bookmarkEnd w:id="58"/>
      <w:bookmarkEnd w:id="59"/>
      <w:bookmarkEnd w:id="60"/>
      <w:bookmarkEnd w:id="61"/>
    </w:p>
    <w:p w14:paraId="646F96C8" w14:textId="77777777" w:rsidR="0075181F" w:rsidRPr="009B5B67" w:rsidRDefault="0075181F" w:rsidP="0075181F">
      <w:pPr>
        <w:rPr>
          <w:lang w:val="en-GB"/>
        </w:rPr>
      </w:pPr>
      <w:r w:rsidRPr="009B5B67">
        <w:rPr>
          <w:noProof/>
          <w:lang w:eastAsia="de-AT"/>
        </w:rPr>
        <w:drawing>
          <wp:inline distT="0" distB="0" distL="0" distR="0" wp14:anchorId="14D8B08E" wp14:editId="57FA00F1">
            <wp:extent cx="4618567" cy="2531659"/>
            <wp:effectExtent l="0" t="0" r="0" b="254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29555" cy="2537682"/>
                    </a:xfrm>
                    <a:prstGeom prst="rect">
                      <a:avLst/>
                    </a:prstGeom>
                    <a:noFill/>
                  </pic:spPr>
                </pic:pic>
              </a:graphicData>
            </a:graphic>
          </wp:inline>
        </w:drawing>
      </w:r>
    </w:p>
    <w:p w14:paraId="27F85BF6" w14:textId="5B1BC6EA" w:rsidR="0075181F" w:rsidRPr="009B5B67" w:rsidRDefault="0075181F" w:rsidP="0075181F">
      <w:pPr>
        <w:rPr>
          <w:lang w:val="en-GB"/>
        </w:rPr>
      </w:pPr>
      <w:r w:rsidRPr="009B5B67">
        <w:rPr>
          <w:lang w:val="en-GB"/>
        </w:rPr>
        <w:t>Regarding the share of individual gasses, CO</w:t>
      </w:r>
      <w:r w:rsidRPr="009B5B67">
        <w:rPr>
          <w:vertAlign w:val="subscript"/>
          <w:lang w:val="en-GB"/>
        </w:rPr>
        <w:t>2</w:t>
      </w:r>
      <w:r w:rsidRPr="009B5B67">
        <w:rPr>
          <w:lang w:val="en-GB"/>
        </w:rPr>
        <w:t xml:space="preserve"> was in 2010 representing 82</w:t>
      </w:r>
      <w:r w:rsidR="00811D25" w:rsidRPr="009B5B67">
        <w:rPr>
          <w:lang w:val="en-GB"/>
        </w:rPr>
        <w:t>.</w:t>
      </w:r>
      <w:r w:rsidRPr="009B5B67">
        <w:rPr>
          <w:lang w:val="en-GB"/>
        </w:rPr>
        <w:t>1% of all emissions, followed by CH</w:t>
      </w:r>
      <w:r w:rsidRPr="009B5B67">
        <w:rPr>
          <w:vertAlign w:val="subscript"/>
          <w:lang w:val="en-GB"/>
        </w:rPr>
        <w:t>4</w:t>
      </w:r>
      <w:r w:rsidRPr="009B5B67">
        <w:rPr>
          <w:lang w:val="en-GB"/>
        </w:rPr>
        <w:t xml:space="preserve"> with 12</w:t>
      </w:r>
      <w:r w:rsidR="00811D25" w:rsidRPr="009B5B67">
        <w:rPr>
          <w:lang w:val="en-GB"/>
        </w:rPr>
        <w:t>.</w:t>
      </w:r>
      <w:r w:rsidRPr="009B5B67">
        <w:rPr>
          <w:lang w:val="en-GB"/>
        </w:rPr>
        <w:t>0% and N</w:t>
      </w:r>
      <w:r w:rsidRPr="009B5B67">
        <w:rPr>
          <w:vertAlign w:val="subscript"/>
          <w:lang w:val="en-GB"/>
        </w:rPr>
        <w:t>2</w:t>
      </w:r>
      <w:r w:rsidRPr="009B5B67">
        <w:rPr>
          <w:lang w:val="en-GB"/>
        </w:rPr>
        <w:t>O with 5</w:t>
      </w:r>
      <w:r w:rsidR="00811D25" w:rsidRPr="009B5B67">
        <w:rPr>
          <w:lang w:val="en-GB"/>
        </w:rPr>
        <w:t>.</w:t>
      </w:r>
      <w:r w:rsidRPr="009B5B67">
        <w:rPr>
          <w:lang w:val="en-GB"/>
        </w:rPr>
        <w:t>4%. HFC and SF</w:t>
      </w:r>
      <w:r w:rsidRPr="009B5B67">
        <w:rPr>
          <w:vertAlign w:val="subscript"/>
          <w:lang w:val="en-GB"/>
        </w:rPr>
        <w:t>6</w:t>
      </w:r>
      <w:r w:rsidRPr="009B5B67">
        <w:rPr>
          <w:lang w:val="en-GB"/>
        </w:rPr>
        <w:t xml:space="preserve"> </w:t>
      </w:r>
      <w:r w:rsidR="001A5200" w:rsidRPr="009B5B67">
        <w:rPr>
          <w:lang w:val="en-GB"/>
        </w:rPr>
        <w:t>together are</w:t>
      </w:r>
      <w:r w:rsidRPr="009B5B67">
        <w:rPr>
          <w:lang w:val="en-GB"/>
        </w:rPr>
        <w:t xml:space="preserve"> accounting for 0</w:t>
      </w:r>
      <w:r w:rsidR="00811D25" w:rsidRPr="009B5B67">
        <w:rPr>
          <w:lang w:val="en-GB"/>
        </w:rPr>
        <w:t>.</w:t>
      </w:r>
      <w:r w:rsidRPr="009B5B67">
        <w:rPr>
          <w:lang w:val="en-GB"/>
        </w:rPr>
        <w:t>4% of total emissions.</w:t>
      </w:r>
    </w:p>
    <w:p w14:paraId="7DECB605" w14:textId="77777777" w:rsidR="0075181F" w:rsidRPr="009B5B67" w:rsidRDefault="0075181F" w:rsidP="0075181F">
      <w:pPr>
        <w:rPr>
          <w:highlight w:val="yellow"/>
          <w:lang w:val="en-GB"/>
        </w:rPr>
      </w:pPr>
    </w:p>
    <w:p w14:paraId="7D0FCCDB" w14:textId="77777777" w:rsidR="0075181F" w:rsidRPr="009B5B67" w:rsidRDefault="0075181F" w:rsidP="0075181F">
      <w:pPr>
        <w:rPr>
          <w:lang w:val="en-GB"/>
        </w:rPr>
      </w:pPr>
    </w:p>
    <w:bookmarkEnd w:id="40"/>
    <w:p w14:paraId="6232F541" w14:textId="77777777" w:rsidR="00CA3A01" w:rsidRPr="009B5B67" w:rsidRDefault="00CA3A01" w:rsidP="00DE3A39">
      <w:pPr>
        <w:tabs>
          <w:tab w:val="left" w:pos="2552"/>
        </w:tabs>
        <w:spacing w:after="0"/>
        <w:ind w:left="2552" w:hanging="2552"/>
        <w:rPr>
          <w:rFonts w:cs="Arial"/>
          <w:szCs w:val="20"/>
          <w:lang w:val="en-GB"/>
        </w:rPr>
        <w:sectPr w:rsidR="00CA3A01" w:rsidRPr="009B5B67" w:rsidSect="007B2815">
          <w:pgSz w:w="11910" w:h="16840"/>
          <w:pgMar w:top="1418" w:right="981" w:bottom="1418" w:left="998" w:header="890" w:footer="561" w:gutter="0"/>
          <w:cols w:space="720"/>
          <w:docGrid w:linePitch="299"/>
        </w:sectPr>
      </w:pPr>
    </w:p>
    <w:p w14:paraId="57F796A7" w14:textId="77777777" w:rsidR="00503AE8" w:rsidRPr="009B5B67" w:rsidRDefault="00A44E1C" w:rsidP="00A44E1C">
      <w:pPr>
        <w:pStyle w:val="Heading1"/>
        <w:keepNext w:val="0"/>
        <w:keepLines w:val="0"/>
        <w:widowControl w:val="0"/>
        <w:numPr>
          <w:ilvl w:val="0"/>
          <w:numId w:val="0"/>
        </w:numPr>
        <w:autoSpaceDE w:val="0"/>
        <w:autoSpaceDN w:val="0"/>
        <w:spacing w:before="0" w:after="0"/>
        <w:ind w:left="432" w:hanging="432"/>
        <w:jc w:val="left"/>
        <w:rPr>
          <w:lang w:val="en-GB" w:eastAsia="sr-Latn-RS"/>
        </w:rPr>
      </w:pPr>
      <w:bookmarkStart w:id="62" w:name="_Toc56411199"/>
      <w:bookmarkStart w:id="63" w:name="_Toc56439378"/>
      <w:r w:rsidRPr="009B5B67">
        <w:rPr>
          <w:lang w:val="en-GB" w:eastAsia="sr-Latn-RS"/>
        </w:rPr>
        <w:lastRenderedPageBreak/>
        <w:t xml:space="preserve">Annex 2 - </w:t>
      </w:r>
      <w:r w:rsidR="00503AE8" w:rsidRPr="009B5B67">
        <w:rPr>
          <w:lang w:val="en-GB" w:eastAsia="sr-Latn-RS"/>
        </w:rPr>
        <w:t>Adaptation</w:t>
      </w:r>
      <w:bookmarkEnd w:id="62"/>
      <w:bookmarkEnd w:id="63"/>
    </w:p>
    <w:p w14:paraId="505B6EEA" w14:textId="77777777" w:rsidR="00503AE8" w:rsidRPr="009B5B67" w:rsidRDefault="00503AE8" w:rsidP="00503AE8">
      <w:pPr>
        <w:spacing w:line="276" w:lineRule="auto"/>
        <w:rPr>
          <w:lang w:val="en-GB"/>
        </w:rPr>
      </w:pPr>
    </w:p>
    <w:p w14:paraId="5EBAF693" w14:textId="77777777" w:rsidR="00503AE8" w:rsidRPr="009B5B67" w:rsidRDefault="00503AE8" w:rsidP="008245F4">
      <w:pPr>
        <w:pStyle w:val="Heading2"/>
        <w:widowControl w:val="0"/>
        <w:numPr>
          <w:ilvl w:val="1"/>
          <w:numId w:val="17"/>
        </w:numPr>
        <w:autoSpaceDE w:val="0"/>
        <w:autoSpaceDN w:val="0"/>
        <w:jc w:val="left"/>
        <w:rPr>
          <w:lang w:val="en-GB"/>
        </w:rPr>
      </w:pPr>
      <w:bookmarkStart w:id="64" w:name="_Toc56411200"/>
      <w:bookmarkStart w:id="65" w:name="_Toc56439379"/>
      <w:r w:rsidRPr="009B5B67">
        <w:rPr>
          <w:lang w:val="en-GB"/>
        </w:rPr>
        <w:t>STRATEGIC AND LEGISLATIVE FRAMEWORK</w:t>
      </w:r>
      <w:bookmarkEnd w:id="64"/>
      <w:bookmarkEnd w:id="65"/>
    </w:p>
    <w:p w14:paraId="45925100" w14:textId="18A495F3" w:rsidR="00503AE8" w:rsidRPr="009B5B67" w:rsidRDefault="00503AE8" w:rsidP="007B2815">
      <w:pPr>
        <w:tabs>
          <w:tab w:val="left" w:pos="2402"/>
        </w:tabs>
        <w:rPr>
          <w:rFonts w:cstheme="minorHAnsi"/>
          <w:lang w:val="en-GB"/>
        </w:rPr>
      </w:pPr>
      <w:r w:rsidRPr="009B5B67">
        <w:rPr>
          <w:rFonts w:cstheme="minorHAnsi"/>
          <w:lang w:val="en-GB"/>
        </w:rPr>
        <w:t xml:space="preserve">The </w:t>
      </w:r>
      <w:r w:rsidR="00CB0963" w:rsidRPr="009B5B67">
        <w:rPr>
          <w:rFonts w:cstheme="minorHAnsi"/>
          <w:szCs w:val="20"/>
          <w:lang w:val="en-GB"/>
        </w:rPr>
        <w:t>Draft</w:t>
      </w:r>
      <w:r w:rsidRPr="009B5B67">
        <w:rPr>
          <w:rFonts w:cstheme="minorHAnsi"/>
          <w:lang w:val="en-GB"/>
        </w:rPr>
        <w:t xml:space="preserve"> Law on Climate Change</w:t>
      </w:r>
      <w:r w:rsidRPr="009B5B67">
        <w:rPr>
          <w:rStyle w:val="FootnoteReference"/>
          <w:rFonts w:cstheme="minorHAnsi"/>
          <w:lang w:val="en-GB"/>
        </w:rPr>
        <w:footnoteReference w:id="17"/>
      </w:r>
      <w:r w:rsidRPr="009B5B67">
        <w:rPr>
          <w:rFonts w:cstheme="minorHAnsi"/>
          <w:lang w:val="en-GB"/>
        </w:rPr>
        <w:t xml:space="preserve"> has been developed and is expected to be adopted during 2020. The Law provides </w:t>
      </w:r>
      <w:r w:rsidR="001A5200" w:rsidRPr="009B5B67">
        <w:rPr>
          <w:rFonts w:cstheme="minorHAnsi"/>
          <w:lang w:val="en-GB"/>
        </w:rPr>
        <w:t xml:space="preserve">a </w:t>
      </w:r>
      <w:r w:rsidRPr="009B5B67">
        <w:rPr>
          <w:rFonts w:cstheme="minorHAnsi"/>
          <w:b/>
          <w:lang w:val="en-GB"/>
        </w:rPr>
        <w:t>legal framework for the GHG emissions reduction and climate change adaptation</w:t>
      </w:r>
      <w:r w:rsidRPr="009B5B67">
        <w:rPr>
          <w:rFonts w:cstheme="minorHAnsi"/>
          <w:lang w:val="en-GB"/>
        </w:rPr>
        <w:t xml:space="preserve"> by promoting aligning, </w:t>
      </w:r>
      <w:proofErr w:type="gramStart"/>
      <w:r w:rsidRPr="009B5B67">
        <w:rPr>
          <w:rFonts w:cstheme="minorHAnsi"/>
          <w:lang w:val="en-GB"/>
        </w:rPr>
        <w:t>adoption</w:t>
      </w:r>
      <w:proofErr w:type="gramEnd"/>
      <w:r w:rsidRPr="009B5B67">
        <w:rPr>
          <w:rFonts w:cstheme="minorHAnsi"/>
          <w:lang w:val="en-GB"/>
        </w:rPr>
        <w:t xml:space="preserve"> and implementation of sectorial policies. This Law foresees the development of the Low</w:t>
      </w:r>
      <w:r w:rsidR="00CB0963" w:rsidRPr="009B5B67">
        <w:rPr>
          <w:rFonts w:cstheme="minorHAnsi"/>
          <w:lang w:val="en-GB"/>
        </w:rPr>
        <w:t xml:space="preserve"> </w:t>
      </w:r>
      <w:r w:rsidRPr="009B5B67">
        <w:rPr>
          <w:rFonts w:cstheme="minorHAnsi"/>
          <w:lang w:val="en-GB"/>
        </w:rPr>
        <w:t xml:space="preserve">Carbon Development </w:t>
      </w:r>
      <w:r w:rsidRPr="009B5B67">
        <w:rPr>
          <w:szCs w:val="20"/>
          <w:lang w:val="en-GB"/>
        </w:rPr>
        <w:t>Strategy</w:t>
      </w:r>
      <w:r w:rsidRPr="009B5B67">
        <w:rPr>
          <w:rFonts w:cstheme="minorHAnsi"/>
          <w:lang w:val="en-GB"/>
        </w:rPr>
        <w:t xml:space="preserve"> </w:t>
      </w:r>
      <w:r w:rsidR="00DB68C2" w:rsidRPr="009B5B67">
        <w:rPr>
          <w:rFonts w:cstheme="minorHAnsi"/>
          <w:lang w:val="en-GB"/>
        </w:rPr>
        <w:t xml:space="preserve">(LCDS) </w:t>
      </w:r>
      <w:r w:rsidRPr="009B5B67">
        <w:rPr>
          <w:rFonts w:cstheme="minorHAnsi"/>
          <w:lang w:val="en-GB"/>
        </w:rPr>
        <w:t xml:space="preserve">and the </w:t>
      </w:r>
      <w:r w:rsidRPr="009B5B67">
        <w:rPr>
          <w:rFonts w:cstheme="minorHAnsi"/>
          <w:b/>
          <w:lang w:val="en-GB"/>
        </w:rPr>
        <w:t>Climate Change Adaptation Programme</w:t>
      </w:r>
      <w:r w:rsidR="00941F57" w:rsidRPr="009B5B67">
        <w:rPr>
          <w:rFonts w:cstheme="minorHAnsi"/>
          <w:b/>
          <w:lang w:val="en-GB"/>
        </w:rPr>
        <w:t>/National Adaptation Plan (NAP)</w:t>
      </w:r>
      <w:r w:rsidRPr="009B5B67">
        <w:rPr>
          <w:rFonts w:cstheme="minorHAnsi"/>
          <w:lang w:val="en-GB"/>
        </w:rPr>
        <w:t xml:space="preserve">, as well as the establishment of a GHG emission monitoring, reporting and verification (MRV) system. </w:t>
      </w:r>
    </w:p>
    <w:p w14:paraId="6E2FE3CB" w14:textId="7416B15F" w:rsidR="00503AE8" w:rsidRPr="009B5B67" w:rsidRDefault="007078AF" w:rsidP="007078AF">
      <w:pPr>
        <w:tabs>
          <w:tab w:val="left" w:pos="2402"/>
        </w:tabs>
        <w:spacing w:after="0"/>
        <w:rPr>
          <w:rFonts w:cstheme="minorHAnsi"/>
          <w:lang w:val="en-GB"/>
        </w:rPr>
      </w:pPr>
      <w:r w:rsidRPr="009B5B67">
        <w:rPr>
          <w:rFonts w:cstheme="minorHAnsi"/>
          <w:lang w:val="en-GB"/>
        </w:rPr>
        <w:t xml:space="preserve">During the process of preparation of </w:t>
      </w:r>
      <w:r w:rsidR="00CB0963" w:rsidRPr="009B5B67">
        <w:rPr>
          <w:rFonts w:cstheme="minorHAnsi"/>
          <w:lang w:val="en-GB"/>
        </w:rPr>
        <w:t>Draft</w:t>
      </w:r>
      <w:r w:rsidR="00503AE8" w:rsidRPr="009B5B67">
        <w:rPr>
          <w:rFonts w:cstheme="minorHAnsi"/>
          <w:lang w:val="en-GB"/>
        </w:rPr>
        <w:t xml:space="preserve"> </w:t>
      </w:r>
      <w:r w:rsidR="001F48FA" w:rsidRPr="009B5B67">
        <w:rPr>
          <w:rFonts w:cstheme="minorHAnsi"/>
          <w:lang w:val="en-GB"/>
        </w:rPr>
        <w:t>LCDS</w:t>
      </w:r>
      <w:r w:rsidR="00503AE8" w:rsidRPr="009B5B67">
        <w:rPr>
          <w:rFonts w:cstheme="minorHAnsi"/>
          <w:lang w:val="en-GB"/>
        </w:rPr>
        <w:t xml:space="preserve"> with the action plan</w:t>
      </w:r>
      <w:r w:rsidR="00503AE8" w:rsidRPr="009B5B67">
        <w:rPr>
          <w:rStyle w:val="FootnoteReference"/>
          <w:rFonts w:cstheme="minorHAnsi"/>
          <w:lang w:val="en-GB"/>
        </w:rPr>
        <w:footnoteReference w:id="18"/>
      </w:r>
      <w:r w:rsidR="00503AE8" w:rsidRPr="009B5B67">
        <w:rPr>
          <w:rFonts w:cstheme="minorHAnsi"/>
          <w:lang w:val="en-GB"/>
        </w:rPr>
        <w:t xml:space="preserve"> the </w:t>
      </w:r>
      <w:r w:rsidR="00503AE8" w:rsidRPr="009B5B67">
        <w:rPr>
          <w:rFonts w:cstheme="minorHAnsi"/>
          <w:b/>
          <w:lang w:val="en-GB"/>
        </w:rPr>
        <w:t>Adaptation Planning Framework</w:t>
      </w:r>
      <w:r w:rsidR="00503AE8" w:rsidRPr="009B5B67">
        <w:rPr>
          <w:rStyle w:val="FootnoteReference"/>
          <w:rFonts w:cstheme="minorHAnsi"/>
          <w:lang w:val="en-GB"/>
        </w:rPr>
        <w:footnoteReference w:id="19"/>
      </w:r>
      <w:r w:rsidR="00503AE8" w:rsidRPr="009B5B67">
        <w:rPr>
          <w:rFonts w:cstheme="minorHAnsi"/>
          <w:lang w:val="en-GB"/>
        </w:rPr>
        <w:t xml:space="preserve">, which provides a </w:t>
      </w:r>
      <w:r w:rsidR="00503AE8" w:rsidRPr="009B5B67">
        <w:rPr>
          <w:rFonts w:cstheme="minorHAnsi"/>
          <w:b/>
          <w:lang w:val="en-GB"/>
        </w:rPr>
        <w:t>methodology for assessment and planning of adaptation measures</w:t>
      </w:r>
      <w:r w:rsidR="00503AE8" w:rsidRPr="009B5B67">
        <w:rPr>
          <w:rFonts w:cstheme="minorHAnsi"/>
          <w:lang w:val="en-GB"/>
        </w:rPr>
        <w:t xml:space="preserve"> for future polices and projects in sectors with the highest priorities in </w:t>
      </w:r>
      <w:r w:rsidR="00503AE8" w:rsidRPr="009B5B67">
        <w:rPr>
          <w:szCs w:val="20"/>
          <w:lang w:val="en-GB"/>
        </w:rPr>
        <w:t>adaptation</w:t>
      </w:r>
      <w:r w:rsidR="00941F57" w:rsidRPr="009B5B67">
        <w:rPr>
          <w:szCs w:val="20"/>
          <w:lang w:val="en-GB"/>
        </w:rPr>
        <w:t>, was developed.</w:t>
      </w:r>
      <w:r w:rsidR="00503AE8" w:rsidRPr="009B5B67">
        <w:rPr>
          <w:rFonts w:cstheme="minorHAnsi"/>
          <w:lang w:val="en-GB"/>
        </w:rPr>
        <w:t xml:space="preserve"> </w:t>
      </w:r>
    </w:p>
    <w:p w14:paraId="259F8E83" w14:textId="77777777" w:rsidR="00941F57" w:rsidRPr="009B5B67" w:rsidRDefault="00941F57" w:rsidP="007078AF">
      <w:pPr>
        <w:tabs>
          <w:tab w:val="left" w:pos="2402"/>
        </w:tabs>
        <w:spacing w:after="0"/>
        <w:rPr>
          <w:rFonts w:cstheme="minorHAnsi"/>
          <w:lang w:val="en-GB"/>
        </w:rPr>
      </w:pPr>
    </w:p>
    <w:p w14:paraId="3E42E68C" w14:textId="4E7C3A10" w:rsidR="00503AE8" w:rsidRPr="009B5B67" w:rsidRDefault="00503AE8" w:rsidP="007B2815">
      <w:pPr>
        <w:tabs>
          <w:tab w:val="left" w:pos="2402"/>
        </w:tabs>
        <w:rPr>
          <w:rFonts w:cstheme="minorHAnsi"/>
          <w:lang w:val="en-GB"/>
        </w:rPr>
      </w:pPr>
      <w:r w:rsidRPr="009B5B67">
        <w:rPr>
          <w:rFonts w:cstheme="minorHAnsi"/>
          <w:lang w:val="en-GB"/>
        </w:rPr>
        <w:t xml:space="preserve">The </w:t>
      </w:r>
      <w:r w:rsidR="00A1127A" w:rsidRPr="009B5B67">
        <w:rPr>
          <w:rFonts w:cstheme="minorHAnsi"/>
          <w:lang w:val="en-GB"/>
        </w:rPr>
        <w:t>NAP</w:t>
      </w:r>
      <w:r w:rsidRPr="009B5B67">
        <w:rPr>
          <w:rStyle w:val="FootnoteReference"/>
          <w:rFonts w:cstheme="minorHAnsi"/>
          <w:b/>
          <w:lang w:val="en-GB"/>
        </w:rPr>
        <w:footnoteReference w:id="20"/>
      </w:r>
      <w:r w:rsidRPr="009B5B67">
        <w:rPr>
          <w:rFonts w:cstheme="minorHAnsi"/>
          <w:lang w:val="en-GB"/>
        </w:rPr>
        <w:t xml:space="preserve"> is aimed at </w:t>
      </w:r>
      <w:r w:rsidRPr="009B5B67">
        <w:rPr>
          <w:szCs w:val="20"/>
          <w:lang w:val="en-GB"/>
        </w:rPr>
        <w:t>assessing</w:t>
      </w:r>
      <w:r w:rsidRPr="009B5B67">
        <w:rPr>
          <w:rFonts w:cstheme="minorHAnsi"/>
          <w:lang w:val="en-GB"/>
        </w:rPr>
        <w:t xml:space="preserve"> the impacts of climate change on the society and sectors of the economy, identifying the most vulnerable sectors, propose adaptation measures, and assess their costs and benefits. The overall goal of the Programme is to develop a list of priority adaptation measures and to identify the implementation needs, as well as institutions responsible for the implementation. Once the Programme is developed and adopted, planning and </w:t>
      </w:r>
      <w:proofErr w:type="gramStart"/>
      <w:r w:rsidRPr="009B5B67">
        <w:rPr>
          <w:rFonts w:cstheme="minorHAnsi"/>
          <w:lang w:val="en-GB"/>
        </w:rPr>
        <w:t>policy-making</w:t>
      </w:r>
      <w:proofErr w:type="gramEnd"/>
      <w:r w:rsidRPr="009B5B67">
        <w:rPr>
          <w:rFonts w:cstheme="minorHAnsi"/>
          <w:lang w:val="en-GB"/>
        </w:rPr>
        <w:t xml:space="preserve"> in vulnerable sectors will be aligned with the climate change adaptation policy.</w:t>
      </w:r>
    </w:p>
    <w:p w14:paraId="57FCC276" w14:textId="77777777" w:rsidR="00503AE8" w:rsidRPr="009B5B67" w:rsidRDefault="00503AE8" w:rsidP="00FD3D9F">
      <w:pPr>
        <w:pStyle w:val="Heading2"/>
        <w:widowControl w:val="0"/>
        <w:numPr>
          <w:ilvl w:val="1"/>
          <w:numId w:val="17"/>
        </w:numPr>
        <w:autoSpaceDE w:val="0"/>
        <w:autoSpaceDN w:val="0"/>
        <w:jc w:val="left"/>
        <w:rPr>
          <w:b/>
          <w:lang w:val="en-GB"/>
        </w:rPr>
      </w:pPr>
      <w:bookmarkStart w:id="66" w:name="_Toc56411201"/>
      <w:bookmarkStart w:id="67" w:name="_Toc56439380"/>
      <w:r w:rsidRPr="009B5B67">
        <w:rPr>
          <w:b/>
          <w:lang w:val="en-GB"/>
        </w:rPr>
        <w:t>OBSERVED AND PROJECTED CLIMATE CHANGE AND EXTREME WEATHER EVENTS</w:t>
      </w:r>
      <w:bookmarkEnd w:id="66"/>
      <w:bookmarkEnd w:id="67"/>
      <w:r w:rsidRPr="009B5B67">
        <w:rPr>
          <w:b/>
          <w:lang w:val="en-GB"/>
        </w:rPr>
        <w:t xml:space="preserve"> </w:t>
      </w:r>
    </w:p>
    <w:p w14:paraId="16BCFFDD" w14:textId="77777777" w:rsidR="00503AE8" w:rsidRPr="009B5B67" w:rsidRDefault="00503AE8" w:rsidP="007B2815">
      <w:pPr>
        <w:tabs>
          <w:tab w:val="left" w:pos="2402"/>
        </w:tabs>
        <w:rPr>
          <w:rFonts w:cstheme="minorHAnsi"/>
          <w:lang w:val="en-GB"/>
        </w:rPr>
      </w:pPr>
      <w:r w:rsidRPr="009B5B67">
        <w:rPr>
          <w:rFonts w:cstheme="minorHAnsi"/>
          <w:lang w:val="en-GB"/>
        </w:rPr>
        <w:t>The top ten hottest years since meteorological measurements began in Serbia are recorded after 2000. The increasing trend of the mean annual temperature has been observed over the last 7 decades (0.36 °C per decade). Since the 1980’s the warming has accelerated to 0.6°C per decade.</w:t>
      </w:r>
      <w:r w:rsidRPr="009B5B67">
        <w:rPr>
          <w:rFonts w:cstheme="minorHAnsi"/>
          <w:vertAlign w:val="superscript"/>
          <w:lang w:val="en-GB"/>
        </w:rPr>
        <w:footnoteReference w:id="21"/>
      </w:r>
      <w:r w:rsidRPr="009B5B67">
        <w:rPr>
          <w:rFonts w:cstheme="minorHAnsi"/>
          <w:lang w:val="en-GB"/>
        </w:rPr>
        <w:t xml:space="preserve">  </w:t>
      </w:r>
    </w:p>
    <w:p w14:paraId="6BB07056" w14:textId="77777777" w:rsidR="00503AE8" w:rsidRPr="009B5B67" w:rsidRDefault="00503AE8" w:rsidP="007B2815">
      <w:pPr>
        <w:tabs>
          <w:tab w:val="left" w:pos="2402"/>
        </w:tabs>
        <w:rPr>
          <w:rFonts w:cstheme="minorHAnsi"/>
          <w:lang w:val="en-GB"/>
        </w:rPr>
      </w:pPr>
      <w:r w:rsidRPr="009B5B67">
        <w:rPr>
          <w:rFonts w:cstheme="minorHAnsi"/>
          <w:lang w:val="en-GB"/>
        </w:rPr>
        <w:t xml:space="preserve">The observed mean annual temperature </w:t>
      </w:r>
      <w:proofErr w:type="gramStart"/>
      <w:r w:rsidRPr="009B5B67">
        <w:rPr>
          <w:rFonts w:cstheme="minorHAnsi"/>
          <w:lang w:val="en-GB"/>
        </w:rPr>
        <w:t>increase</w:t>
      </w:r>
      <w:proofErr w:type="gramEnd"/>
      <w:r w:rsidRPr="009B5B67">
        <w:rPr>
          <w:rFonts w:cstheme="minorHAnsi"/>
          <w:lang w:val="en-GB"/>
        </w:rPr>
        <w:t xml:space="preserve"> in the period 2008-2017 relative to the reference period 1961-1990 in the largest part of territory of Serbia exceeded 1.5°C, and in the western and eastern parts of the country it even exceeded 2°C. During the same </w:t>
      </w:r>
      <w:proofErr w:type="gramStart"/>
      <w:r w:rsidRPr="009B5B67">
        <w:rPr>
          <w:rFonts w:cstheme="minorHAnsi"/>
          <w:lang w:val="en-GB"/>
        </w:rPr>
        <w:t>time period</w:t>
      </w:r>
      <w:proofErr w:type="gramEnd"/>
      <w:r w:rsidRPr="009B5B67">
        <w:rPr>
          <w:rFonts w:cstheme="minorHAnsi"/>
          <w:lang w:val="en-GB"/>
        </w:rPr>
        <w:t>, the annual precipitation increased up to 10%, and in the southern part of the country up to 20% relative to the reference period. Observed changes are more pronounced during the summer season which has become warmer by about 2.5°C, while summer precipitation decreased by 10 to 20% in most of the country, and up to 30% in the southern part.</w:t>
      </w:r>
      <w:r w:rsidRPr="009B5B67">
        <w:rPr>
          <w:rFonts w:cstheme="minorHAnsi"/>
          <w:vertAlign w:val="superscript"/>
          <w:lang w:val="en-GB"/>
        </w:rPr>
        <w:t xml:space="preserve"> </w:t>
      </w:r>
      <w:r w:rsidRPr="009B5B67">
        <w:rPr>
          <w:rFonts w:cstheme="minorHAnsi"/>
          <w:lang w:val="en-GB"/>
        </w:rPr>
        <w:t>Increasing frequency of extreme events has been observed, including among others heat waves, droughts, flooding, intense rainfall, etc.</w:t>
      </w:r>
    </w:p>
    <w:p w14:paraId="6AD29624" w14:textId="77777777" w:rsidR="00503AE8" w:rsidRPr="009B5B67" w:rsidRDefault="00503AE8" w:rsidP="00503AE8">
      <w:pPr>
        <w:spacing w:line="276" w:lineRule="auto"/>
        <w:rPr>
          <w:rFonts w:cstheme="minorHAnsi"/>
          <w:lang w:val="en-GB"/>
        </w:rPr>
      </w:pPr>
      <w:r w:rsidRPr="009B5B67">
        <w:rPr>
          <w:rFonts w:cstheme="minorHAnsi"/>
          <w:lang w:val="en-GB"/>
        </w:rPr>
        <w:t>Projections of regional climate models according to two IPCC scenarios of GHG emissions, the RCP8.5 and RCP4.5</w:t>
      </w:r>
      <w:r w:rsidRPr="009B5B67">
        <w:rPr>
          <w:rFonts w:cstheme="minorHAnsi"/>
          <w:lang w:val="en-GB"/>
        </w:rPr>
        <w:footnoteReference w:id="22"/>
      </w:r>
      <w:r w:rsidRPr="009B5B67">
        <w:rPr>
          <w:rFonts w:cstheme="minorHAnsi"/>
          <w:lang w:val="en-GB"/>
        </w:rPr>
        <w:t>, foresee further increase of temperature, changes in the precipitation regime, and increase of intensity and frequency of extreme weather events.</w:t>
      </w:r>
    </w:p>
    <w:p w14:paraId="2BD6C982" w14:textId="77777777" w:rsidR="00503AE8" w:rsidRPr="009B5B67" w:rsidRDefault="00503AE8" w:rsidP="007B2815">
      <w:pPr>
        <w:tabs>
          <w:tab w:val="left" w:pos="2402"/>
        </w:tabs>
        <w:rPr>
          <w:rFonts w:cstheme="minorHAnsi"/>
          <w:lang w:val="en-GB"/>
        </w:rPr>
      </w:pPr>
      <w:r w:rsidRPr="009B5B67">
        <w:rPr>
          <w:rFonts w:cstheme="minorHAnsi"/>
          <w:lang w:val="en-GB"/>
        </w:rPr>
        <w:lastRenderedPageBreak/>
        <w:t xml:space="preserve">According to the scenario RCP4.5, which implies the stabilization of the GHG emissions by 2040, the mean annual temperature in the territory of Serbia will increase relative to the reference period (1986-2005) by about 0.5°C </w:t>
      </w:r>
      <w:proofErr w:type="gramStart"/>
      <w:r w:rsidRPr="009B5B67">
        <w:rPr>
          <w:rFonts w:cstheme="minorHAnsi"/>
          <w:lang w:val="en-GB"/>
        </w:rPr>
        <w:t>in the near future</w:t>
      </w:r>
      <w:proofErr w:type="gramEnd"/>
      <w:r w:rsidRPr="009B5B67">
        <w:rPr>
          <w:rFonts w:cstheme="minorHAnsi"/>
          <w:lang w:val="en-GB"/>
        </w:rPr>
        <w:t xml:space="preserve"> (2016-2035), by 1.5°C by the middle of the century (2046-2065) and up to 2°C by the end of the century (2081-2100). The change in the mean annual precipitation will not be as pronounced as in the case of temperature </w:t>
      </w:r>
      <w:proofErr w:type="gramStart"/>
      <w:r w:rsidRPr="009B5B67">
        <w:rPr>
          <w:rFonts w:cstheme="minorHAnsi"/>
          <w:lang w:val="en-GB"/>
        </w:rPr>
        <w:t>change, but</w:t>
      </w:r>
      <w:proofErr w:type="gramEnd"/>
      <w:r w:rsidRPr="009B5B67">
        <w:rPr>
          <w:rFonts w:cstheme="minorHAnsi"/>
          <w:lang w:val="en-GB"/>
        </w:rPr>
        <w:t xml:space="preserve"> will be characterized by interannual precipitation redistribution. It is estimated that by the middle of the century there will be a reduction of mean annual precipitation of up to 5% in most of the country, along with an increase of up to 5% in the north. By the end of the century, a larger part of the territory of Serbia could experience up to 10% more precipitation at the annual level, but at the same time up to 20% less precipitation during summer.</w:t>
      </w:r>
    </w:p>
    <w:p w14:paraId="69FD3F64" w14:textId="484F4385" w:rsidR="00503AE8" w:rsidRPr="009B5B67" w:rsidRDefault="00503AE8" w:rsidP="007B2815">
      <w:pPr>
        <w:tabs>
          <w:tab w:val="left" w:pos="2402"/>
        </w:tabs>
        <w:rPr>
          <w:rFonts w:cstheme="minorHAnsi"/>
          <w:lang w:val="en-GB"/>
        </w:rPr>
      </w:pPr>
      <w:r w:rsidRPr="009B5B67">
        <w:rPr>
          <w:rFonts w:cstheme="minorHAnsi"/>
          <w:lang w:val="en-GB"/>
        </w:rPr>
        <w:t>The changes of the mean annual temperatures according to the scenario RCP8.5, which implies continued increase of emissions until the end of the century, would be greater by about 0.5°C relative to RCP4.5 in the first two time periods, while by the end of the century under this scenario they are expected to increase by about 4.3°C relative to the reference period. By the middle of the century mean annual precipitation is expected to increase practically in the whole territory of Serbia up to 10%. By the end of the century, this trend will change, and only the northern part of the country will have an increase of mean annual participation up to 10%, while the rest of the country in most parts will experience a reduction of up to 10% and up to 20% in the southern parts. During the summer season, the deficit of rainfall will be stronger and will range from 10 to 30% across Serbia.</w:t>
      </w:r>
    </w:p>
    <w:p w14:paraId="47029025" w14:textId="77777777" w:rsidR="00503AE8" w:rsidRPr="009B5B67" w:rsidRDefault="00503AE8" w:rsidP="00FD3D9F">
      <w:pPr>
        <w:pStyle w:val="Heading2"/>
        <w:widowControl w:val="0"/>
        <w:numPr>
          <w:ilvl w:val="1"/>
          <w:numId w:val="17"/>
        </w:numPr>
        <w:autoSpaceDE w:val="0"/>
        <w:autoSpaceDN w:val="0"/>
        <w:ind w:left="578" w:hanging="578"/>
        <w:jc w:val="left"/>
        <w:rPr>
          <w:rFonts w:asciiTheme="minorHAnsi" w:hAnsiTheme="minorHAnsi" w:cstheme="minorHAnsi"/>
          <w:b/>
          <w:lang w:val="en-GB"/>
        </w:rPr>
      </w:pPr>
      <w:bookmarkStart w:id="68" w:name="_Toc56411202"/>
      <w:bookmarkStart w:id="69" w:name="_Toc56439381"/>
      <w:r w:rsidRPr="009B5B67">
        <w:rPr>
          <w:rFonts w:asciiTheme="minorHAnsi" w:hAnsiTheme="minorHAnsi" w:cstheme="minorHAnsi"/>
          <w:b/>
          <w:lang w:val="en-GB"/>
        </w:rPr>
        <w:t>SECTORIAL ASSESSMENT OF CLIMATE CHANGE IMPACTS AND PROPOSED ADAPTATION MEASURES</w:t>
      </w:r>
      <w:bookmarkEnd w:id="68"/>
      <w:bookmarkEnd w:id="69"/>
    </w:p>
    <w:p w14:paraId="4860BDBF" w14:textId="77777777" w:rsidR="00503AE8" w:rsidRPr="009B5B67" w:rsidRDefault="00503AE8" w:rsidP="007B2815">
      <w:pPr>
        <w:tabs>
          <w:tab w:val="left" w:pos="2402"/>
        </w:tabs>
        <w:rPr>
          <w:rFonts w:cstheme="minorHAnsi"/>
          <w:lang w:val="en-GB"/>
        </w:rPr>
      </w:pPr>
      <w:r w:rsidRPr="009B5B67">
        <w:rPr>
          <w:rFonts w:cstheme="minorHAnsi"/>
          <w:lang w:val="en-GB"/>
        </w:rPr>
        <w:t xml:space="preserve">As presented in the NDC, the sectors that are most vulnerable to climate change in Serbia include: agriculture, water management, forestry, </w:t>
      </w:r>
      <w:proofErr w:type="gramStart"/>
      <w:r w:rsidRPr="009B5B67">
        <w:rPr>
          <w:rFonts w:cstheme="minorHAnsi"/>
          <w:lang w:val="en-GB"/>
        </w:rPr>
        <w:t>biodiversity</w:t>
      </w:r>
      <w:proofErr w:type="gramEnd"/>
      <w:r w:rsidRPr="009B5B67">
        <w:rPr>
          <w:rFonts w:cstheme="minorHAnsi"/>
          <w:lang w:val="en-GB"/>
        </w:rPr>
        <w:t xml:space="preserve"> and public health.</w:t>
      </w:r>
    </w:p>
    <w:p w14:paraId="6565C80C" w14:textId="17424872" w:rsidR="00503AE8" w:rsidRPr="009B5B67" w:rsidRDefault="00503AE8" w:rsidP="00FD3D9F">
      <w:pPr>
        <w:pStyle w:val="Heading3"/>
        <w:keepNext w:val="0"/>
        <w:keepLines w:val="0"/>
        <w:widowControl w:val="0"/>
        <w:numPr>
          <w:ilvl w:val="2"/>
          <w:numId w:val="17"/>
        </w:numPr>
        <w:autoSpaceDE w:val="0"/>
        <w:autoSpaceDN w:val="0"/>
        <w:spacing w:before="127"/>
        <w:jc w:val="left"/>
        <w:rPr>
          <w:rFonts w:asciiTheme="minorHAnsi" w:hAnsiTheme="minorHAnsi" w:cstheme="minorHAnsi"/>
          <w:lang w:val="en-GB"/>
        </w:rPr>
      </w:pPr>
      <w:bookmarkStart w:id="70" w:name="_Toc56411203"/>
      <w:bookmarkStart w:id="71" w:name="_Toc56439382"/>
      <w:r w:rsidRPr="009B5B67">
        <w:rPr>
          <w:rFonts w:asciiTheme="minorHAnsi" w:hAnsiTheme="minorHAnsi" w:cstheme="minorHAnsi"/>
          <w:lang w:val="en-GB"/>
        </w:rPr>
        <w:t>AGRICULTURE</w:t>
      </w:r>
      <w:bookmarkEnd w:id="70"/>
      <w:bookmarkEnd w:id="71"/>
    </w:p>
    <w:p w14:paraId="1A37572E" w14:textId="22BC1ADB" w:rsidR="00503AE8" w:rsidRPr="009B5B67" w:rsidRDefault="00503AE8" w:rsidP="00503AE8">
      <w:pPr>
        <w:spacing w:line="276" w:lineRule="auto"/>
        <w:rPr>
          <w:rFonts w:cstheme="minorHAnsi"/>
          <w:lang w:val="en-GB"/>
        </w:rPr>
      </w:pPr>
      <w:r w:rsidRPr="009B5B67">
        <w:rPr>
          <w:rFonts w:cstheme="minorHAnsi"/>
          <w:lang w:val="en-GB"/>
        </w:rPr>
        <w:t xml:space="preserve">It is estimated that drought causes the greatest losses and damages in the Serbian agriculture. During the past 20 years Serbia has recorded 7 dry years (on average, one dry year per 2.8 years), while in the period 1950-2000 there were only 3 dry years (one dry year per 16.7 years). Only one drought, in 2012, resulted in estimated damages and losses in the Serbian agriculture of USD 2 </w:t>
      </w:r>
      <w:proofErr w:type="spellStart"/>
      <w:r w:rsidRPr="009B5B67">
        <w:rPr>
          <w:rFonts w:cstheme="minorHAnsi"/>
          <w:lang w:val="en-GB"/>
        </w:rPr>
        <w:t>billion</w:t>
      </w:r>
      <w:r w:rsidR="000324FE">
        <w:rPr>
          <w:rFonts w:cstheme="minorHAnsi"/>
          <w:lang w:val="en-GB"/>
        </w:rPr>
        <w:t>s</w:t>
      </w:r>
      <w:proofErr w:type="spellEnd"/>
      <w:r w:rsidRPr="009B5B67">
        <w:rPr>
          <w:rFonts w:cstheme="minorHAnsi"/>
          <w:lang w:val="en-GB"/>
        </w:rPr>
        <w:t xml:space="preserve">. The </w:t>
      </w:r>
      <w:r w:rsidR="00CB0963" w:rsidRPr="009B5B67">
        <w:rPr>
          <w:rFonts w:cstheme="minorHAnsi"/>
          <w:lang w:val="en-GB"/>
        </w:rPr>
        <w:t>Draft</w:t>
      </w:r>
      <w:r w:rsidRPr="009B5B67">
        <w:rPr>
          <w:rFonts w:cstheme="minorHAnsi"/>
          <w:lang w:val="en-GB"/>
        </w:rPr>
        <w:t xml:space="preserve"> National Adaptation Plan estimated the losses and damages resulting from drought in the Serbian agriculture in the period 1994-2014 at minimum USD 4.6 </w:t>
      </w:r>
      <w:proofErr w:type="spellStart"/>
      <w:r w:rsidRPr="009B5B67">
        <w:rPr>
          <w:rFonts w:cstheme="minorHAnsi"/>
          <w:lang w:val="en-GB"/>
        </w:rPr>
        <w:t>billion</w:t>
      </w:r>
      <w:r w:rsidR="000324FE">
        <w:rPr>
          <w:rFonts w:cstheme="minorHAnsi"/>
          <w:lang w:val="en-GB"/>
        </w:rPr>
        <w:t>s</w:t>
      </w:r>
      <w:proofErr w:type="spellEnd"/>
      <w:r w:rsidRPr="009B5B67">
        <w:rPr>
          <w:rFonts w:cstheme="minorHAnsi"/>
          <w:lang w:val="en-GB"/>
        </w:rPr>
        <w:t>.</w:t>
      </w:r>
      <w:r w:rsidRPr="009B5B67">
        <w:rPr>
          <w:rStyle w:val="FootnoteReference"/>
          <w:rFonts w:cstheme="minorHAnsi"/>
          <w:lang w:val="en-GB"/>
        </w:rPr>
        <w:footnoteReference w:id="23"/>
      </w:r>
    </w:p>
    <w:p w14:paraId="58183116" w14:textId="30BD6411" w:rsidR="00503AE8" w:rsidRPr="009B5B67" w:rsidRDefault="00503AE8" w:rsidP="00503AE8">
      <w:pPr>
        <w:spacing w:line="276" w:lineRule="auto"/>
        <w:rPr>
          <w:rFonts w:cstheme="minorHAnsi"/>
          <w:lang w:val="en-GB"/>
        </w:rPr>
      </w:pPr>
      <w:r w:rsidRPr="009B5B67">
        <w:rPr>
          <w:rFonts w:cstheme="minorHAnsi"/>
          <w:lang w:val="en-GB"/>
        </w:rPr>
        <w:t>The Strategy of Agriculture and Rural Development for the period 2014-2024</w:t>
      </w:r>
      <w:r w:rsidRPr="009B5B67">
        <w:rPr>
          <w:rStyle w:val="FootnoteReference"/>
          <w:rFonts w:cstheme="minorHAnsi"/>
          <w:lang w:val="en-GB"/>
        </w:rPr>
        <w:footnoteReference w:id="24"/>
      </w:r>
      <w:r w:rsidRPr="009B5B67">
        <w:rPr>
          <w:rFonts w:cstheme="minorHAnsi"/>
          <w:lang w:val="en-GB"/>
        </w:rPr>
        <w:t xml:space="preserve"> recognizes that the response to climate change impacts in this sector so far has been inadequate and that system-wide solutions are needed, particularly related to use of new technologies. That is why the adaptation and mitigating climate change impacts </w:t>
      </w:r>
      <w:r w:rsidR="000324FE">
        <w:rPr>
          <w:rFonts w:cstheme="minorHAnsi"/>
          <w:lang w:val="en-GB"/>
        </w:rPr>
        <w:t>are</w:t>
      </w:r>
      <w:r w:rsidR="000324FE" w:rsidRPr="009B5B67">
        <w:rPr>
          <w:rFonts w:cstheme="minorHAnsi"/>
          <w:lang w:val="en-GB"/>
        </w:rPr>
        <w:t xml:space="preserve"> </w:t>
      </w:r>
      <w:r w:rsidRPr="009B5B67">
        <w:rPr>
          <w:rFonts w:cstheme="minorHAnsi"/>
          <w:lang w:val="en-GB"/>
        </w:rPr>
        <w:t xml:space="preserve">defined as one of the strategic objectives of the Serbian agricultural policy. </w:t>
      </w:r>
    </w:p>
    <w:p w14:paraId="33200DBB" w14:textId="4BEB1C23" w:rsidR="00503AE8" w:rsidRPr="009B5B67" w:rsidRDefault="00503AE8" w:rsidP="00503AE8">
      <w:pPr>
        <w:spacing w:line="276" w:lineRule="auto"/>
        <w:rPr>
          <w:rFonts w:cstheme="minorHAnsi"/>
          <w:szCs w:val="20"/>
          <w:lang w:val="en-GB"/>
        </w:rPr>
      </w:pPr>
      <w:r w:rsidRPr="009B5B67">
        <w:rPr>
          <w:rFonts w:cstheme="minorHAnsi"/>
          <w:lang w:val="en-GB"/>
        </w:rPr>
        <w:t xml:space="preserve">Priority adaptation measures in the sector of agriculture </w:t>
      </w:r>
      <w:r w:rsidR="003E60DB" w:rsidRPr="009B5B67">
        <w:rPr>
          <w:rFonts w:cstheme="minorHAnsi"/>
          <w:lang w:val="en-GB"/>
        </w:rPr>
        <w:t xml:space="preserve">(Annex III) </w:t>
      </w:r>
      <w:r w:rsidRPr="009B5B67">
        <w:rPr>
          <w:rFonts w:cstheme="minorHAnsi"/>
          <w:lang w:val="en-GB"/>
        </w:rPr>
        <w:t xml:space="preserve">proposed through the relevant sectorial strategies and </w:t>
      </w:r>
      <w:r w:rsidRPr="009B5B67">
        <w:rPr>
          <w:rFonts w:cstheme="minorHAnsi"/>
          <w:szCs w:val="20"/>
          <w:lang w:val="en-GB"/>
        </w:rPr>
        <w:t>planning documents are:</w:t>
      </w:r>
    </w:p>
    <w:p w14:paraId="6FBB989F" w14:textId="77777777" w:rsidR="00503AE8" w:rsidRPr="009B5B67" w:rsidRDefault="00503AE8" w:rsidP="00FD3D9F">
      <w:pPr>
        <w:pStyle w:val="ListParagraph"/>
        <w:numPr>
          <w:ilvl w:val="0"/>
          <w:numId w:val="14"/>
        </w:numPr>
        <w:spacing w:after="200" w:line="276" w:lineRule="auto"/>
        <w:rPr>
          <w:rFonts w:cstheme="minorHAnsi"/>
          <w:szCs w:val="20"/>
          <w:lang w:val="en-GB"/>
        </w:rPr>
      </w:pPr>
      <w:r w:rsidRPr="009B5B67">
        <w:rPr>
          <w:rFonts w:cstheme="minorHAnsi"/>
          <w:szCs w:val="20"/>
          <w:lang w:val="en-GB"/>
        </w:rPr>
        <w:t>Constructing new irrigation systems and more efficient use of the existing ones.</w:t>
      </w:r>
    </w:p>
    <w:p w14:paraId="0ADAF5DD" w14:textId="77777777" w:rsidR="00503AE8" w:rsidRPr="009B5B67" w:rsidRDefault="00503AE8" w:rsidP="00FD3D9F">
      <w:pPr>
        <w:pStyle w:val="ListParagraph"/>
        <w:numPr>
          <w:ilvl w:val="0"/>
          <w:numId w:val="14"/>
        </w:numPr>
        <w:spacing w:after="200" w:line="276" w:lineRule="auto"/>
        <w:rPr>
          <w:rFonts w:cstheme="minorHAnsi"/>
          <w:szCs w:val="20"/>
          <w:lang w:val="en-GB"/>
        </w:rPr>
      </w:pPr>
      <w:r w:rsidRPr="009B5B67">
        <w:rPr>
          <w:rFonts w:cstheme="minorHAnsi"/>
          <w:szCs w:val="20"/>
          <w:lang w:val="en-GB"/>
        </w:rPr>
        <w:t>Use of small, multi-purpose water accumulations.</w:t>
      </w:r>
    </w:p>
    <w:p w14:paraId="0D16DA8F" w14:textId="77777777" w:rsidR="00503AE8" w:rsidRPr="009B5B67" w:rsidRDefault="00503AE8" w:rsidP="00FD3D9F">
      <w:pPr>
        <w:pStyle w:val="ListParagraph"/>
        <w:numPr>
          <w:ilvl w:val="0"/>
          <w:numId w:val="14"/>
        </w:numPr>
        <w:spacing w:after="200" w:line="276" w:lineRule="auto"/>
        <w:rPr>
          <w:rFonts w:cstheme="minorHAnsi"/>
          <w:szCs w:val="20"/>
          <w:lang w:val="en-GB"/>
        </w:rPr>
      </w:pPr>
      <w:r w:rsidRPr="009B5B67">
        <w:rPr>
          <w:rFonts w:cstheme="minorHAnsi"/>
          <w:szCs w:val="20"/>
          <w:lang w:val="en-GB"/>
        </w:rPr>
        <w:t xml:space="preserve">Adjustment of the technologies of agricultural plant and animal production. </w:t>
      </w:r>
    </w:p>
    <w:p w14:paraId="50138EDA" w14:textId="236759B5" w:rsidR="003E60DB" w:rsidRPr="009B5B67" w:rsidRDefault="00503AE8" w:rsidP="003E60DB">
      <w:pPr>
        <w:pStyle w:val="ListParagraph"/>
        <w:numPr>
          <w:ilvl w:val="0"/>
          <w:numId w:val="14"/>
        </w:numPr>
        <w:spacing w:after="200" w:line="276" w:lineRule="auto"/>
        <w:rPr>
          <w:rFonts w:cstheme="minorHAnsi"/>
          <w:lang w:val="en-GB"/>
        </w:rPr>
      </w:pPr>
      <w:r w:rsidRPr="009B5B67">
        <w:rPr>
          <w:rFonts w:cstheme="minorHAnsi"/>
          <w:szCs w:val="20"/>
          <w:lang w:val="en-GB"/>
        </w:rPr>
        <w:t>Improvement</w:t>
      </w:r>
      <w:r w:rsidRPr="009B5B67">
        <w:rPr>
          <w:rFonts w:cstheme="minorHAnsi"/>
          <w:lang w:val="en-GB"/>
        </w:rPr>
        <w:t xml:space="preserve"> of the use of meteorological and climatological information for planning in agriculture.</w:t>
      </w:r>
    </w:p>
    <w:p w14:paraId="62091D5A" w14:textId="77777777" w:rsidR="00503AE8" w:rsidRPr="009B5B67" w:rsidRDefault="00503AE8" w:rsidP="00FD3D9F">
      <w:pPr>
        <w:pStyle w:val="Heading3"/>
        <w:keepNext w:val="0"/>
        <w:keepLines w:val="0"/>
        <w:widowControl w:val="0"/>
        <w:numPr>
          <w:ilvl w:val="2"/>
          <w:numId w:val="17"/>
        </w:numPr>
        <w:autoSpaceDE w:val="0"/>
        <w:autoSpaceDN w:val="0"/>
        <w:spacing w:before="127"/>
        <w:jc w:val="left"/>
        <w:rPr>
          <w:lang w:val="en-GB"/>
        </w:rPr>
      </w:pPr>
      <w:bookmarkStart w:id="72" w:name="_Toc56411204"/>
      <w:bookmarkStart w:id="73" w:name="_Toc56439383"/>
      <w:r w:rsidRPr="009B5B67">
        <w:rPr>
          <w:lang w:val="en-GB"/>
        </w:rPr>
        <w:t>WATER MANAGEMENT</w:t>
      </w:r>
      <w:bookmarkEnd w:id="72"/>
      <w:bookmarkEnd w:id="73"/>
    </w:p>
    <w:p w14:paraId="12B7E47C" w14:textId="77777777" w:rsidR="00503AE8" w:rsidRPr="009B5B67" w:rsidRDefault="00503AE8" w:rsidP="00503AE8">
      <w:pPr>
        <w:spacing w:line="276" w:lineRule="auto"/>
        <w:rPr>
          <w:rFonts w:cstheme="minorHAnsi"/>
          <w:lang w:val="en-GB"/>
        </w:rPr>
      </w:pPr>
      <w:r w:rsidRPr="009B5B67">
        <w:rPr>
          <w:rFonts w:cstheme="minorHAnsi"/>
          <w:lang w:val="en-GB"/>
        </w:rPr>
        <w:t xml:space="preserve">The greatest share of the available surface water is that of transit waters (92%) flowing into Serbia as big rivers, while only 8% originates on the territory of the country. In the north, the greatest part of water resources </w:t>
      </w:r>
      <w:proofErr w:type="gramStart"/>
      <w:r w:rsidRPr="009B5B67">
        <w:rPr>
          <w:rFonts w:cstheme="minorHAnsi"/>
          <w:lang w:val="en-GB"/>
        </w:rPr>
        <w:t>belong</w:t>
      </w:r>
      <w:proofErr w:type="gramEnd"/>
      <w:r w:rsidRPr="009B5B67">
        <w:rPr>
          <w:rFonts w:cstheme="minorHAnsi"/>
          <w:lang w:val="en-GB"/>
        </w:rPr>
        <w:t xml:space="preserve"> to transit waters, while in the south surface waters are mostly domicile waters that depend on local the climate </w:t>
      </w:r>
      <w:r w:rsidRPr="009B5B67">
        <w:rPr>
          <w:rFonts w:cstheme="minorHAnsi"/>
          <w:lang w:val="en-GB"/>
        </w:rPr>
        <w:lastRenderedPageBreak/>
        <w:t>conditions, more specifically on the difference between total precipitation and evapotranspiration. Due to the temperature increase in recent decades, Serbia has experienced increased evapotranspiration, which ranges from a couple of percentages to as much as 10% for the period 2008-2017 relative to the reference period 1961-1990. The positive trend of evapotranspiration, along with interannual redistribution of precipitation has resulted in reduced the water content in soil (up to 2m depth) in practically the whole territory of Serbia. The biggest reduction of the soil water content, exceeding 10%, has been recorded during summer and autumn months, which in turn can affect water supply, agricultural and energy production. Measurements have indicated a trend of reducing river flows in central and southern Serbia, amounting to -2 to -3% per decade. Negative trends of river flows have been observed on the Sava and the Danube (about -1% per decade) rivers. At the same time, due to more frequent and intensive rainfall there are increasing risks from floods and flash floods.</w:t>
      </w:r>
      <w:r w:rsidRPr="009B5B67">
        <w:rPr>
          <w:rStyle w:val="FootnoteReference"/>
          <w:rFonts w:cstheme="minorHAnsi"/>
          <w:lang w:val="en-GB"/>
        </w:rPr>
        <w:footnoteReference w:id="25"/>
      </w:r>
    </w:p>
    <w:p w14:paraId="33C513E8" w14:textId="6CB49C57" w:rsidR="00503AE8" w:rsidRPr="009B5B67" w:rsidRDefault="00503AE8" w:rsidP="00503AE8">
      <w:pPr>
        <w:spacing w:line="276" w:lineRule="auto"/>
        <w:rPr>
          <w:rFonts w:cstheme="minorHAnsi"/>
          <w:lang w:val="en-GB"/>
        </w:rPr>
      </w:pPr>
      <w:r w:rsidRPr="009B5B67">
        <w:rPr>
          <w:rFonts w:cstheme="minorHAnsi"/>
          <w:lang w:val="en-GB"/>
        </w:rPr>
        <w:t xml:space="preserve">The anticipated changes in the precipitation regime, the redistribution of precipitation within a year, longer dry periods, increased intensity of precipitation and less snowfall will </w:t>
      </w:r>
      <w:r w:rsidR="000324FE">
        <w:rPr>
          <w:rFonts w:cstheme="minorHAnsi"/>
          <w:lang w:val="en-GB"/>
        </w:rPr>
        <w:t>affect</w:t>
      </w:r>
      <w:r w:rsidR="000324FE" w:rsidRPr="009B5B67">
        <w:rPr>
          <w:rFonts w:cstheme="minorHAnsi"/>
          <w:lang w:val="en-GB"/>
        </w:rPr>
        <w:t xml:space="preserve"> </w:t>
      </w:r>
      <w:r w:rsidRPr="009B5B67">
        <w:rPr>
          <w:rFonts w:cstheme="minorHAnsi"/>
          <w:lang w:val="en-GB"/>
        </w:rPr>
        <w:t>the future availability of surface and ground water in the country. Projections indicate</w:t>
      </w:r>
      <w:r w:rsidRPr="009B5B67">
        <w:rPr>
          <w:rFonts w:cstheme="minorHAnsi"/>
          <w:vertAlign w:val="superscript"/>
          <w:lang w:val="en-GB"/>
        </w:rPr>
        <w:t>19</w:t>
      </w:r>
      <w:r w:rsidRPr="009B5B67">
        <w:rPr>
          <w:rFonts w:cstheme="minorHAnsi"/>
          <w:lang w:val="en-GB"/>
        </w:rPr>
        <w:t xml:space="preserve"> further reduction of flows on all rivers in Serbia, amounting to -8% by the mid-century and up to -17% by the end of the century, compared to the reference period 1971-2000. The biggest reduction in river flows is expected in central and eastern Serbia, and the least on the Sava and the Danube rivers. </w:t>
      </w:r>
    </w:p>
    <w:p w14:paraId="2A99813A" w14:textId="77777777" w:rsidR="00503AE8" w:rsidRPr="009B5B67" w:rsidRDefault="00503AE8" w:rsidP="00503AE8">
      <w:pPr>
        <w:spacing w:line="276" w:lineRule="auto"/>
        <w:rPr>
          <w:rFonts w:cstheme="minorHAnsi"/>
          <w:lang w:val="en-GB"/>
        </w:rPr>
      </w:pPr>
      <w:r w:rsidRPr="009B5B67">
        <w:rPr>
          <w:rFonts w:cstheme="minorHAnsi"/>
          <w:lang w:val="en-GB"/>
        </w:rPr>
        <w:t xml:space="preserve">Alongside, the groundwater recharge is expected to reduce across the whole territory of Serbia on the average by -10% by the mid-century and by up to -50% by the end of the century, compared to the reference period 1951-2010. This reduction will more strongly affect groundwater in the east and southeast of the country. </w:t>
      </w:r>
    </w:p>
    <w:p w14:paraId="5DFF4EA8" w14:textId="77777777" w:rsidR="00503AE8" w:rsidRPr="009B5B67" w:rsidRDefault="00503AE8" w:rsidP="00503AE8">
      <w:pPr>
        <w:spacing w:line="276" w:lineRule="auto"/>
        <w:rPr>
          <w:rFonts w:cstheme="minorHAnsi"/>
          <w:lang w:val="en-GB"/>
        </w:rPr>
      </w:pPr>
      <w:r w:rsidRPr="009B5B67">
        <w:rPr>
          <w:rFonts w:cstheme="minorHAnsi"/>
          <w:lang w:val="en-GB"/>
        </w:rPr>
        <w:t>The increase of air temperature will also affect the increase of water temperatures, which could have negative effects on the quality of water, the ecosystems and energy production.</w:t>
      </w:r>
    </w:p>
    <w:p w14:paraId="267972E7" w14:textId="43C529FF" w:rsidR="00503AE8" w:rsidRPr="009B5B67" w:rsidRDefault="00503AE8" w:rsidP="00503AE8">
      <w:pPr>
        <w:spacing w:line="276" w:lineRule="auto"/>
        <w:rPr>
          <w:rFonts w:cstheme="minorHAnsi"/>
          <w:lang w:val="en-GB"/>
        </w:rPr>
      </w:pPr>
      <w:r w:rsidRPr="009B5B67">
        <w:rPr>
          <w:rFonts w:cstheme="minorHAnsi"/>
          <w:lang w:val="en-GB"/>
        </w:rPr>
        <w:t>Water management in Serbia is organised in three strategic areas: water use, protection against harmful effects of water, and protection of water quality. The Water Management Strategy for the territory of the Republic of Serbia until 2034 recommends many measures for improvement of the strategic areas, many of which may be considered as adaptation measures since the water resources strongly depend on climate conditions. Priority adaptation measures adopted from the Strategy</w:t>
      </w:r>
      <w:r w:rsidR="00042B02" w:rsidRPr="009B5B67">
        <w:rPr>
          <w:rFonts w:cstheme="minorHAnsi"/>
          <w:lang w:val="en-GB"/>
        </w:rPr>
        <w:t xml:space="preserve"> (Annex 3)</w:t>
      </w:r>
      <w:r w:rsidRPr="009B5B67">
        <w:rPr>
          <w:rFonts w:cstheme="minorHAnsi"/>
          <w:lang w:val="en-GB"/>
        </w:rPr>
        <w:t xml:space="preserve"> are:</w:t>
      </w:r>
    </w:p>
    <w:p w14:paraId="1C39C2AA" w14:textId="77777777" w:rsidR="00503AE8" w:rsidRPr="009B5B67" w:rsidRDefault="00503AE8" w:rsidP="00FD3D9F">
      <w:pPr>
        <w:pStyle w:val="ListParagraph"/>
        <w:numPr>
          <w:ilvl w:val="0"/>
          <w:numId w:val="15"/>
        </w:numPr>
        <w:spacing w:after="200" w:line="276" w:lineRule="auto"/>
        <w:rPr>
          <w:rFonts w:cstheme="minorHAnsi"/>
          <w:lang w:val="en-GB"/>
        </w:rPr>
      </w:pPr>
      <w:r w:rsidRPr="009B5B67">
        <w:rPr>
          <w:rFonts w:cstheme="minorHAnsi"/>
          <w:lang w:val="en-GB"/>
        </w:rPr>
        <w:t>Increasing efficiency of water supply systems</w:t>
      </w:r>
    </w:p>
    <w:p w14:paraId="6EEDB6D1" w14:textId="77777777" w:rsidR="00503AE8" w:rsidRPr="009B5B67" w:rsidRDefault="00503AE8" w:rsidP="00FD3D9F">
      <w:pPr>
        <w:pStyle w:val="ListParagraph"/>
        <w:numPr>
          <w:ilvl w:val="0"/>
          <w:numId w:val="15"/>
        </w:numPr>
        <w:spacing w:after="200" w:line="276" w:lineRule="auto"/>
        <w:rPr>
          <w:rFonts w:cstheme="minorHAnsi"/>
          <w:lang w:val="en-GB"/>
        </w:rPr>
      </w:pPr>
      <w:r w:rsidRPr="009B5B67">
        <w:rPr>
          <w:rFonts w:cstheme="minorHAnsi"/>
          <w:lang w:val="en-GB"/>
        </w:rPr>
        <w:t>Improving protection of water springs and preservation of water quality</w:t>
      </w:r>
    </w:p>
    <w:p w14:paraId="308B5F92" w14:textId="77777777" w:rsidR="00503AE8" w:rsidRPr="009B5B67" w:rsidRDefault="00503AE8" w:rsidP="00FD3D9F">
      <w:pPr>
        <w:pStyle w:val="ListParagraph"/>
        <w:numPr>
          <w:ilvl w:val="0"/>
          <w:numId w:val="15"/>
        </w:numPr>
        <w:spacing w:after="200" w:line="276" w:lineRule="auto"/>
        <w:rPr>
          <w:rFonts w:cstheme="minorHAnsi"/>
          <w:lang w:val="en-GB"/>
        </w:rPr>
      </w:pPr>
      <w:r w:rsidRPr="009B5B67">
        <w:rPr>
          <w:rFonts w:cstheme="minorHAnsi"/>
          <w:lang w:val="en-GB"/>
        </w:rPr>
        <w:t>Development of flood risk management plans</w:t>
      </w:r>
    </w:p>
    <w:p w14:paraId="6DDE3063" w14:textId="77777777" w:rsidR="00503AE8" w:rsidRPr="009B5B67" w:rsidRDefault="00503AE8" w:rsidP="00FD3D9F">
      <w:pPr>
        <w:pStyle w:val="ListParagraph"/>
        <w:numPr>
          <w:ilvl w:val="0"/>
          <w:numId w:val="15"/>
        </w:numPr>
        <w:spacing w:after="200" w:line="276" w:lineRule="auto"/>
        <w:rPr>
          <w:rFonts w:cstheme="minorHAnsi"/>
          <w:lang w:val="en-GB"/>
        </w:rPr>
      </w:pPr>
      <w:r w:rsidRPr="009B5B67">
        <w:rPr>
          <w:rFonts w:cstheme="minorHAnsi"/>
          <w:lang w:val="en-GB"/>
        </w:rPr>
        <w:t>Improving protection against floods and flash floods</w:t>
      </w:r>
    </w:p>
    <w:p w14:paraId="7FF349AF" w14:textId="77777777" w:rsidR="00503AE8" w:rsidRPr="009B5B67" w:rsidRDefault="00503AE8" w:rsidP="00FD3D9F">
      <w:pPr>
        <w:pStyle w:val="ListParagraph"/>
        <w:numPr>
          <w:ilvl w:val="0"/>
          <w:numId w:val="15"/>
        </w:numPr>
        <w:spacing w:after="200" w:line="276" w:lineRule="auto"/>
        <w:rPr>
          <w:rFonts w:cstheme="minorHAnsi"/>
          <w:lang w:val="en-GB"/>
        </w:rPr>
      </w:pPr>
      <w:r w:rsidRPr="009B5B67">
        <w:rPr>
          <w:rFonts w:cstheme="minorHAnsi"/>
          <w:lang w:val="en-GB"/>
        </w:rPr>
        <w:t>Improving protection against inland flooding</w:t>
      </w:r>
    </w:p>
    <w:p w14:paraId="335ECB5E" w14:textId="77777777" w:rsidR="00503AE8" w:rsidRPr="009B5B67" w:rsidRDefault="00503AE8" w:rsidP="00FD3D9F">
      <w:pPr>
        <w:pStyle w:val="ListParagraph"/>
        <w:numPr>
          <w:ilvl w:val="0"/>
          <w:numId w:val="15"/>
        </w:numPr>
        <w:spacing w:after="200" w:line="276" w:lineRule="auto"/>
        <w:rPr>
          <w:rFonts w:cstheme="minorHAnsi"/>
          <w:lang w:val="en-GB"/>
        </w:rPr>
      </w:pPr>
      <w:r w:rsidRPr="009B5B67">
        <w:rPr>
          <w:rFonts w:cstheme="minorHAnsi"/>
          <w:lang w:val="en-GB"/>
        </w:rPr>
        <w:t>Improving the water management in drought conditions and water shortage</w:t>
      </w:r>
    </w:p>
    <w:p w14:paraId="6A7CB69B" w14:textId="77777777" w:rsidR="00503AE8" w:rsidRPr="009B5B67" w:rsidRDefault="00503AE8" w:rsidP="00FD3D9F">
      <w:pPr>
        <w:pStyle w:val="Heading3"/>
        <w:keepNext w:val="0"/>
        <w:keepLines w:val="0"/>
        <w:widowControl w:val="0"/>
        <w:numPr>
          <w:ilvl w:val="2"/>
          <w:numId w:val="17"/>
        </w:numPr>
        <w:autoSpaceDE w:val="0"/>
        <w:autoSpaceDN w:val="0"/>
        <w:spacing w:before="127"/>
        <w:jc w:val="left"/>
        <w:rPr>
          <w:lang w:val="en-GB"/>
        </w:rPr>
      </w:pPr>
      <w:bookmarkStart w:id="74" w:name="_Toc56411205"/>
      <w:bookmarkStart w:id="75" w:name="_Toc56439384"/>
      <w:r w:rsidRPr="009B5B67">
        <w:rPr>
          <w:lang w:val="en-GB"/>
        </w:rPr>
        <w:t>FORESTRY</w:t>
      </w:r>
      <w:bookmarkEnd w:id="74"/>
      <w:bookmarkEnd w:id="75"/>
    </w:p>
    <w:p w14:paraId="4D7657D6" w14:textId="77777777" w:rsidR="00503AE8" w:rsidRPr="009B5B67" w:rsidRDefault="00503AE8" w:rsidP="00503AE8">
      <w:pPr>
        <w:spacing w:line="276" w:lineRule="auto"/>
        <w:rPr>
          <w:rFonts w:cstheme="minorHAnsi"/>
          <w:lang w:val="en-GB"/>
        </w:rPr>
      </w:pPr>
      <w:r w:rsidRPr="009B5B67">
        <w:rPr>
          <w:rFonts w:cstheme="minorHAnsi"/>
          <w:lang w:val="en-GB"/>
        </w:rPr>
        <w:t>The forests in Serbia cover about 2,360,000 ha, most of which are state owned (51.4%). The major types of forests are beech (27.6%), oak (24.6%), with only about 6% of coniferous trees. The Forestry Development Strategy of the Republic of Serbia</w:t>
      </w:r>
      <w:r w:rsidRPr="009B5B67">
        <w:rPr>
          <w:rStyle w:val="FootnoteReference"/>
          <w:rFonts w:cstheme="minorHAnsi"/>
          <w:lang w:val="en-GB"/>
        </w:rPr>
        <w:footnoteReference w:id="26"/>
      </w:r>
      <w:r w:rsidRPr="009B5B67">
        <w:rPr>
          <w:rFonts w:cstheme="minorHAnsi"/>
          <w:lang w:val="en-GB"/>
        </w:rPr>
        <w:t xml:space="preserve"> estimated that the state of forests is unsatisfactory in terms of their health, age structure, production funds and forest cover.  </w:t>
      </w:r>
    </w:p>
    <w:p w14:paraId="50148C6D" w14:textId="77777777" w:rsidR="00503AE8" w:rsidRPr="009B5B67" w:rsidRDefault="00503AE8" w:rsidP="00503AE8">
      <w:pPr>
        <w:spacing w:line="276" w:lineRule="auto"/>
        <w:rPr>
          <w:rFonts w:cstheme="minorHAnsi"/>
          <w:lang w:val="en-GB"/>
        </w:rPr>
      </w:pPr>
      <w:r w:rsidRPr="009B5B67">
        <w:rPr>
          <w:rFonts w:cstheme="minorHAnsi"/>
          <w:lang w:val="en-GB"/>
        </w:rPr>
        <w:t xml:space="preserve">The most significant climate change impacts on forests in Serbia include the more frequent occurrence of droughts, forest fires, </w:t>
      </w:r>
      <w:proofErr w:type="gramStart"/>
      <w:r w:rsidRPr="009B5B67">
        <w:rPr>
          <w:rFonts w:cstheme="minorHAnsi"/>
          <w:lang w:val="en-GB"/>
        </w:rPr>
        <w:t>pests</w:t>
      </w:r>
      <w:proofErr w:type="gramEnd"/>
      <w:r w:rsidRPr="009B5B67">
        <w:rPr>
          <w:rFonts w:cstheme="minorHAnsi"/>
          <w:lang w:val="en-GB"/>
        </w:rPr>
        <w:t xml:space="preserve"> and diseases. The English oak has been identified as the most vulnerable tree species as it is </w:t>
      </w:r>
      <w:proofErr w:type="spellStart"/>
      <w:r w:rsidRPr="009B5B67">
        <w:rPr>
          <w:rFonts w:cstheme="minorHAnsi"/>
          <w:lang w:val="en-GB"/>
        </w:rPr>
        <w:t>dependant</w:t>
      </w:r>
      <w:proofErr w:type="spellEnd"/>
      <w:r w:rsidRPr="009B5B67">
        <w:rPr>
          <w:rFonts w:cstheme="minorHAnsi"/>
          <w:lang w:val="en-GB"/>
        </w:rPr>
        <w:t xml:space="preserve"> on the groundwater level, which is being reduced in recent decades. On the other hand, black and white pine and downy oak are coping well with the arid conditions and will be least affected by the more frequent droughts in the future. Extreme droughts, fires, strong winds, frost, and pests (gypsy moth, </w:t>
      </w:r>
      <w:r w:rsidRPr="009B5B67">
        <w:rPr>
          <w:rFonts w:cstheme="minorHAnsi"/>
          <w:i/>
          <w:iCs/>
          <w:lang w:val="en-GB"/>
        </w:rPr>
        <w:t xml:space="preserve">Lymantria </w:t>
      </w:r>
      <w:proofErr w:type="spellStart"/>
      <w:r w:rsidRPr="009B5B67">
        <w:rPr>
          <w:rFonts w:cstheme="minorHAnsi"/>
          <w:i/>
          <w:iCs/>
          <w:lang w:val="en-GB"/>
        </w:rPr>
        <w:t>dispar</w:t>
      </w:r>
      <w:proofErr w:type="spellEnd"/>
      <w:r w:rsidRPr="009B5B67">
        <w:rPr>
          <w:rFonts w:cstheme="minorHAnsi"/>
          <w:lang w:val="en-GB"/>
        </w:rPr>
        <w:t xml:space="preserve"> L.) and diseases have caused the largest damages in Serbian forests in the past two decades.</w:t>
      </w:r>
    </w:p>
    <w:p w14:paraId="42CE56B4" w14:textId="77777777" w:rsidR="00042B02" w:rsidRPr="009B5B67" w:rsidRDefault="00503AE8" w:rsidP="00503AE8">
      <w:pPr>
        <w:spacing w:line="276" w:lineRule="auto"/>
        <w:rPr>
          <w:rFonts w:cstheme="minorHAnsi"/>
          <w:lang w:val="en-GB"/>
        </w:rPr>
      </w:pPr>
      <w:r w:rsidRPr="009B5B67">
        <w:rPr>
          <w:rFonts w:cstheme="minorHAnsi"/>
          <w:lang w:val="en-GB"/>
        </w:rPr>
        <w:t xml:space="preserve">Due to the poor status of forests and their huge significance for both climate change mitigation and adaptation, it is necessary to systemically improve the forestry sector. Priority adaptation measures </w:t>
      </w:r>
      <w:r w:rsidR="00042B02" w:rsidRPr="009B5B67">
        <w:rPr>
          <w:rFonts w:cstheme="minorHAnsi"/>
          <w:lang w:val="en-GB"/>
        </w:rPr>
        <w:t xml:space="preserve">(Annex III) </w:t>
      </w:r>
    </w:p>
    <w:p w14:paraId="3F5C09B7" w14:textId="160B1917" w:rsidR="00503AE8" w:rsidRPr="009B5B67" w:rsidRDefault="00503AE8" w:rsidP="00503AE8">
      <w:pPr>
        <w:spacing w:line="276" w:lineRule="auto"/>
        <w:rPr>
          <w:rFonts w:cstheme="minorHAnsi"/>
          <w:lang w:val="en-GB"/>
        </w:rPr>
      </w:pPr>
      <w:r w:rsidRPr="009B5B67">
        <w:rPr>
          <w:rFonts w:cstheme="minorHAnsi"/>
          <w:lang w:val="en-GB"/>
        </w:rPr>
        <w:lastRenderedPageBreak/>
        <w:t>proposed through the relevant strategic and planning documents include:</w:t>
      </w:r>
    </w:p>
    <w:p w14:paraId="48ED7C55" w14:textId="77777777" w:rsidR="00503AE8" w:rsidRPr="009B5B67" w:rsidRDefault="00503AE8" w:rsidP="00FD3D9F">
      <w:pPr>
        <w:pStyle w:val="ListParagraph"/>
        <w:numPr>
          <w:ilvl w:val="0"/>
          <w:numId w:val="16"/>
        </w:numPr>
        <w:spacing w:after="200" w:line="276" w:lineRule="auto"/>
        <w:rPr>
          <w:rFonts w:cstheme="minorHAnsi"/>
          <w:lang w:val="en-GB"/>
        </w:rPr>
      </w:pPr>
      <w:r w:rsidRPr="009B5B67">
        <w:rPr>
          <w:rFonts w:cstheme="minorHAnsi"/>
          <w:lang w:val="en-GB"/>
        </w:rPr>
        <w:t>Reforestation using climate adaptable tree species</w:t>
      </w:r>
    </w:p>
    <w:p w14:paraId="59C7B453" w14:textId="77777777" w:rsidR="00503AE8" w:rsidRPr="009B5B67" w:rsidRDefault="00503AE8" w:rsidP="00FD3D9F">
      <w:pPr>
        <w:pStyle w:val="ListParagraph"/>
        <w:numPr>
          <w:ilvl w:val="0"/>
          <w:numId w:val="16"/>
        </w:numPr>
        <w:spacing w:after="200" w:line="276" w:lineRule="auto"/>
        <w:rPr>
          <w:rFonts w:cstheme="minorHAnsi"/>
          <w:lang w:val="en-GB"/>
        </w:rPr>
      </w:pPr>
      <w:r w:rsidRPr="009B5B67">
        <w:rPr>
          <w:rFonts w:cstheme="minorHAnsi"/>
          <w:lang w:val="en-GB"/>
        </w:rPr>
        <w:t>Adopting the close-to-nature forest management and the climate-smart forestry principles and approaches</w:t>
      </w:r>
    </w:p>
    <w:p w14:paraId="5D5DC01F" w14:textId="77777777" w:rsidR="00503AE8" w:rsidRPr="009B5B67" w:rsidRDefault="00503AE8" w:rsidP="00FD3D9F">
      <w:pPr>
        <w:pStyle w:val="ListParagraph"/>
        <w:numPr>
          <w:ilvl w:val="0"/>
          <w:numId w:val="16"/>
        </w:numPr>
        <w:spacing w:after="200" w:line="276" w:lineRule="auto"/>
        <w:rPr>
          <w:rFonts w:cstheme="minorHAnsi"/>
          <w:lang w:val="en-GB"/>
        </w:rPr>
      </w:pPr>
      <w:r w:rsidRPr="009B5B67">
        <w:rPr>
          <w:rFonts w:cstheme="minorHAnsi"/>
          <w:lang w:val="en-GB"/>
        </w:rPr>
        <w:t>Conversion of coppice into high forests</w:t>
      </w:r>
    </w:p>
    <w:p w14:paraId="70A05BA5" w14:textId="77777777" w:rsidR="00503AE8" w:rsidRPr="009B5B67" w:rsidRDefault="00503AE8" w:rsidP="00FD3D9F">
      <w:pPr>
        <w:pStyle w:val="ListParagraph"/>
        <w:numPr>
          <w:ilvl w:val="0"/>
          <w:numId w:val="16"/>
        </w:numPr>
        <w:spacing w:after="200" w:line="276" w:lineRule="auto"/>
        <w:rPr>
          <w:rFonts w:cstheme="minorHAnsi"/>
          <w:lang w:val="en-GB"/>
        </w:rPr>
      </w:pPr>
      <w:r w:rsidRPr="009B5B67">
        <w:rPr>
          <w:rFonts w:cstheme="minorHAnsi"/>
          <w:lang w:val="en-GB"/>
        </w:rPr>
        <w:t>Reducing the negative risk factors of biotic and abiotic origin</w:t>
      </w:r>
    </w:p>
    <w:p w14:paraId="11375BA3" w14:textId="77777777" w:rsidR="00503AE8" w:rsidRPr="009B5B67" w:rsidRDefault="00503AE8" w:rsidP="00FD3D9F">
      <w:pPr>
        <w:pStyle w:val="Heading3"/>
        <w:keepNext w:val="0"/>
        <w:keepLines w:val="0"/>
        <w:widowControl w:val="0"/>
        <w:numPr>
          <w:ilvl w:val="2"/>
          <w:numId w:val="17"/>
        </w:numPr>
        <w:autoSpaceDE w:val="0"/>
        <w:autoSpaceDN w:val="0"/>
        <w:spacing w:before="127"/>
        <w:jc w:val="left"/>
        <w:rPr>
          <w:lang w:val="en-GB"/>
        </w:rPr>
      </w:pPr>
      <w:bookmarkStart w:id="76" w:name="_Toc56411206"/>
      <w:bookmarkStart w:id="77" w:name="_Toc56439385"/>
      <w:r w:rsidRPr="009B5B67">
        <w:rPr>
          <w:lang w:val="en-GB"/>
        </w:rPr>
        <w:t>BIODIVERSITY</w:t>
      </w:r>
      <w:bookmarkEnd w:id="76"/>
      <w:bookmarkEnd w:id="77"/>
    </w:p>
    <w:p w14:paraId="13C32401" w14:textId="77777777" w:rsidR="00503AE8" w:rsidRPr="009B5B67" w:rsidRDefault="00503AE8" w:rsidP="00503AE8">
      <w:pPr>
        <w:rPr>
          <w:rFonts w:cstheme="minorHAnsi"/>
          <w:lang w:val="en-GB"/>
        </w:rPr>
      </w:pPr>
      <w:r w:rsidRPr="009B5B67">
        <w:rPr>
          <w:rFonts w:cstheme="minorHAnsi"/>
          <w:lang w:val="en-GB"/>
        </w:rPr>
        <w:t xml:space="preserve">Climate change in Serbia could result in phenological, morphological, physiological changes and changes in the behaviour of species, changes in conditions or loss of existing natural habitats, changes in number and distribution of species, increasing the number of pests and diseases, or genetic changes. The most vulnerable habitats are high mountains, pastures, forests, riverbanks, </w:t>
      </w:r>
      <w:proofErr w:type="gramStart"/>
      <w:r w:rsidRPr="009B5B67">
        <w:rPr>
          <w:rFonts w:cstheme="minorHAnsi"/>
          <w:lang w:val="en-GB"/>
        </w:rPr>
        <w:t>wetlands</w:t>
      </w:r>
      <w:proofErr w:type="gramEnd"/>
      <w:r w:rsidRPr="009B5B67">
        <w:rPr>
          <w:rFonts w:cstheme="minorHAnsi"/>
          <w:lang w:val="en-GB"/>
        </w:rPr>
        <w:t xml:space="preserve"> and steppe habitats.</w:t>
      </w:r>
    </w:p>
    <w:p w14:paraId="4048FF26" w14:textId="77777777" w:rsidR="00503AE8" w:rsidRPr="009B5B67" w:rsidRDefault="00503AE8" w:rsidP="00503AE8">
      <w:pPr>
        <w:rPr>
          <w:rFonts w:cstheme="minorHAnsi"/>
          <w:lang w:val="en-GB"/>
        </w:rPr>
      </w:pPr>
      <w:r w:rsidRPr="009B5B67">
        <w:rPr>
          <w:rFonts w:cstheme="minorHAnsi"/>
          <w:lang w:val="en-GB"/>
        </w:rPr>
        <w:t>Although biodiversity in Serbia is threatened by climate change, research in this field is not at a significant level. The Biodiversity Strategy of the Republic of Serbia with the accompanying Action Plan for the period 2011-2018</w:t>
      </w:r>
      <w:r w:rsidRPr="009B5B67">
        <w:rPr>
          <w:rStyle w:val="FootnoteReference"/>
          <w:rFonts w:cstheme="minorHAnsi"/>
          <w:lang w:val="en-GB"/>
        </w:rPr>
        <w:footnoteReference w:id="27"/>
      </w:r>
      <w:r w:rsidRPr="009B5B67">
        <w:rPr>
          <w:rFonts w:cstheme="minorHAnsi"/>
          <w:lang w:val="en-GB"/>
        </w:rPr>
        <w:t xml:space="preserve"> envisaged several measures related to the climate change adaptation, which have hardly been achieved at all. The </w:t>
      </w:r>
      <w:r w:rsidR="00CB0963" w:rsidRPr="009B5B67">
        <w:rPr>
          <w:rFonts w:cstheme="minorHAnsi"/>
          <w:lang w:val="en-GB"/>
        </w:rPr>
        <w:t>Draft</w:t>
      </w:r>
      <w:r w:rsidRPr="009B5B67">
        <w:rPr>
          <w:rFonts w:cstheme="minorHAnsi"/>
          <w:lang w:val="en-GB"/>
        </w:rPr>
        <w:t xml:space="preserve"> Nature Protection Programme of the Republic of Serbia for the period 2020-2022</w:t>
      </w:r>
      <w:r w:rsidRPr="009B5B67">
        <w:rPr>
          <w:rStyle w:val="FootnoteReference"/>
          <w:rFonts w:cstheme="minorHAnsi"/>
          <w:lang w:val="en-GB"/>
        </w:rPr>
        <w:footnoteReference w:id="28"/>
      </w:r>
      <w:r w:rsidRPr="009B5B67">
        <w:rPr>
          <w:rFonts w:cstheme="minorHAnsi"/>
          <w:lang w:val="en-GB"/>
        </w:rPr>
        <w:t xml:space="preserve"> stipulates that the main problems in the field of biodiversity adaptation to climate change are insufficient interaction among researchers, decision-makers and other stakeholders, lack of systematic monitoring of climate change impacts on biodiversity, insufficient number of models for projections and assessment of climate change impacts on biodiversity, as well as low public awareness on this issue. Within the specific strategic objective of biodiversity protection, there is a defined measure on </w:t>
      </w:r>
      <w:r w:rsidRPr="009B5B67">
        <w:rPr>
          <w:rFonts w:cstheme="minorHAnsi"/>
          <w:b/>
          <w:i/>
          <w:lang w:val="en-GB"/>
        </w:rPr>
        <w:t>monitoring the impacts of climate change on biodiversity and impacts of biodiversity on mitigating the effects of climate change</w:t>
      </w:r>
      <w:r w:rsidRPr="009B5B67">
        <w:rPr>
          <w:rFonts w:cstheme="minorHAnsi"/>
          <w:lang w:val="en-GB"/>
        </w:rPr>
        <w:t xml:space="preserve">. It implies the development of the vulnerability assessment methodology and indicators, determining the number of species, habitats and ecosystems that are subject to monitoring climate change impacts, developing specific measures to protect the species and habitats sensitive to climate change, monitoring the level of endangerment of biodiversity from natural disasters, and raising public awareness about the climate change impacts on biodiversity through campaigns, media, and scientific publications. In addition, in order to strengthen research capacities, it is necessary to work on </w:t>
      </w:r>
      <w:r w:rsidRPr="009B5B67">
        <w:rPr>
          <w:rFonts w:cstheme="minorHAnsi"/>
          <w:b/>
          <w:i/>
          <w:lang w:val="en-GB"/>
        </w:rPr>
        <w:t xml:space="preserve">improving the cooperation among scientists and </w:t>
      </w:r>
      <w:proofErr w:type="gramStart"/>
      <w:r w:rsidRPr="009B5B67">
        <w:rPr>
          <w:rFonts w:cstheme="minorHAnsi"/>
          <w:b/>
          <w:i/>
          <w:lang w:val="en-GB"/>
        </w:rPr>
        <w:t>researches</w:t>
      </w:r>
      <w:proofErr w:type="gramEnd"/>
      <w:r w:rsidRPr="009B5B67">
        <w:rPr>
          <w:rFonts w:cstheme="minorHAnsi"/>
          <w:b/>
          <w:i/>
          <w:lang w:val="en-GB"/>
        </w:rPr>
        <w:t xml:space="preserve"> and capacities of researchers</w:t>
      </w:r>
      <w:r w:rsidRPr="009B5B67">
        <w:rPr>
          <w:rFonts w:cstheme="minorHAnsi"/>
          <w:lang w:val="en-GB"/>
        </w:rPr>
        <w:t xml:space="preserve">. One of the first comprehensive steps would be to </w:t>
      </w:r>
      <w:r w:rsidRPr="009B5B67">
        <w:rPr>
          <w:rFonts w:cstheme="minorHAnsi"/>
          <w:b/>
          <w:i/>
          <w:lang w:val="en-GB"/>
        </w:rPr>
        <w:t xml:space="preserve">develop a national assessment of biodiversity vulnerability to climate change </w:t>
      </w:r>
      <w:r w:rsidRPr="009B5B67">
        <w:rPr>
          <w:rFonts w:cstheme="minorHAnsi"/>
          <w:lang w:val="en-GB"/>
        </w:rPr>
        <w:t>in Serbia. All strategic measures relevant to reducing vulnerability and biodiversity losses and maintaining biological diversity at genetic, species, and ecosystem levels can be understood as adaptation measures, as they increase the adaptive capacity.</w:t>
      </w:r>
    </w:p>
    <w:p w14:paraId="4B7124E7" w14:textId="77777777" w:rsidR="00503AE8" w:rsidRPr="009B5B67" w:rsidRDefault="00503AE8" w:rsidP="00503AE8">
      <w:pPr>
        <w:rPr>
          <w:rFonts w:cstheme="minorHAnsi"/>
          <w:lang w:val="en-GB"/>
        </w:rPr>
      </w:pPr>
    </w:p>
    <w:p w14:paraId="4EA1926D" w14:textId="77777777" w:rsidR="00503AE8" w:rsidRPr="009B5B67" w:rsidRDefault="00503AE8" w:rsidP="00A96906">
      <w:pPr>
        <w:pStyle w:val="Heading3"/>
        <w:keepLines w:val="0"/>
        <w:widowControl w:val="0"/>
        <w:numPr>
          <w:ilvl w:val="2"/>
          <w:numId w:val="17"/>
        </w:numPr>
        <w:autoSpaceDE w:val="0"/>
        <w:autoSpaceDN w:val="0"/>
        <w:spacing w:before="127"/>
        <w:jc w:val="left"/>
        <w:rPr>
          <w:b w:val="0"/>
          <w:lang w:val="en-GB"/>
        </w:rPr>
      </w:pPr>
      <w:bookmarkStart w:id="78" w:name="_Toc56411207"/>
      <w:bookmarkStart w:id="79" w:name="_Toc56439386"/>
      <w:r w:rsidRPr="009B5B67">
        <w:rPr>
          <w:lang w:val="en-GB"/>
        </w:rPr>
        <w:t>PUBLIC HEALTH</w:t>
      </w:r>
      <w:bookmarkEnd w:id="78"/>
      <w:bookmarkEnd w:id="79"/>
    </w:p>
    <w:p w14:paraId="277B37A4" w14:textId="77777777" w:rsidR="00503AE8" w:rsidRPr="009B5B67" w:rsidRDefault="00503AE8" w:rsidP="00503AE8">
      <w:pPr>
        <w:rPr>
          <w:rFonts w:cstheme="minorHAnsi"/>
          <w:lang w:val="en-GB"/>
        </w:rPr>
      </w:pPr>
      <w:r w:rsidRPr="009B5B67">
        <w:rPr>
          <w:rFonts w:cstheme="minorHAnsi"/>
          <w:lang w:val="en-GB"/>
        </w:rPr>
        <w:t xml:space="preserve">Climate change can have a direct or indirect impact on public health. Direct impact implies injuries, diseases, and fatalities resulting from climate change and extreme weather events (floods, heat waves, storms, etc.). The indirect impact includes the consequences for public health that are associated with the more frequent occurrence of vector-borne diseases, reduced </w:t>
      </w:r>
      <w:proofErr w:type="gramStart"/>
      <w:r w:rsidRPr="009B5B67">
        <w:rPr>
          <w:rFonts w:cstheme="minorHAnsi"/>
          <w:lang w:val="en-GB"/>
        </w:rPr>
        <w:t>air</w:t>
      </w:r>
      <w:proofErr w:type="gramEnd"/>
      <w:r w:rsidRPr="009B5B67">
        <w:rPr>
          <w:rFonts w:cstheme="minorHAnsi"/>
          <w:lang w:val="en-GB"/>
        </w:rPr>
        <w:t xml:space="preserve"> and water quality, as well as reduced availability of food and water. The categories of population that are particularly vulnerable to the health impacts of climate change are the elderly, particularly those in single member households, the chronically ill, the poor, children, </w:t>
      </w:r>
      <w:proofErr w:type="gramStart"/>
      <w:r w:rsidRPr="009B5B67">
        <w:rPr>
          <w:rFonts w:cstheme="minorHAnsi"/>
          <w:lang w:val="en-GB"/>
        </w:rPr>
        <w:t>farmers</w:t>
      </w:r>
      <w:proofErr w:type="gramEnd"/>
      <w:r w:rsidRPr="009B5B67">
        <w:rPr>
          <w:rFonts w:cstheme="minorHAnsi"/>
          <w:lang w:val="en-GB"/>
        </w:rPr>
        <w:t xml:space="preserve"> and outdoors workers. It is estimated that in Serbia about 35% of the total population is vulnerable.</w:t>
      </w:r>
      <w:r w:rsidRPr="009B5B67">
        <w:rPr>
          <w:rStyle w:val="FootnoteReference"/>
          <w:rFonts w:cstheme="minorHAnsi"/>
          <w:lang w:val="en-GB"/>
        </w:rPr>
        <w:footnoteReference w:id="29"/>
      </w:r>
    </w:p>
    <w:p w14:paraId="3D125277" w14:textId="77777777" w:rsidR="00503AE8" w:rsidRPr="009B5B67" w:rsidRDefault="00503AE8" w:rsidP="00503AE8">
      <w:pPr>
        <w:rPr>
          <w:rFonts w:cstheme="minorHAnsi"/>
          <w:lang w:val="en-GB"/>
        </w:rPr>
      </w:pPr>
      <w:r w:rsidRPr="009B5B67">
        <w:rPr>
          <w:rFonts w:cstheme="minorHAnsi"/>
          <w:lang w:val="en-GB"/>
        </w:rPr>
        <w:lastRenderedPageBreak/>
        <w:t>Climate change is included in the Public Health Strategy of the Republic of Serbia 2018-2026</w:t>
      </w:r>
      <w:r w:rsidRPr="009B5B67">
        <w:rPr>
          <w:rStyle w:val="FootnoteReference"/>
          <w:rFonts w:cstheme="minorHAnsi"/>
          <w:lang w:val="en-GB"/>
        </w:rPr>
        <w:footnoteReference w:id="30"/>
      </w:r>
      <w:r w:rsidRPr="009B5B67">
        <w:rPr>
          <w:rFonts w:cstheme="minorHAnsi"/>
          <w:lang w:val="en-GB"/>
        </w:rPr>
        <w:t xml:space="preserve"> through the specific objective to improve the environment, adaptation measures and response to climate change – </w:t>
      </w:r>
      <w:r w:rsidRPr="009B5B67">
        <w:rPr>
          <w:rFonts w:cstheme="minorHAnsi"/>
          <w:b/>
          <w:i/>
          <w:lang w:val="en-GB"/>
        </w:rPr>
        <w:t>development of action plans for response to climate change in urban areas</w:t>
      </w:r>
      <w:r w:rsidRPr="009B5B67">
        <w:rPr>
          <w:rFonts w:cstheme="minorHAnsi"/>
          <w:lang w:val="en-GB"/>
        </w:rPr>
        <w:t xml:space="preserve">. Although not specifically stated, all strategic measures related to improving the quality of air, </w:t>
      </w:r>
      <w:proofErr w:type="gramStart"/>
      <w:r w:rsidRPr="009B5B67">
        <w:rPr>
          <w:rFonts w:cstheme="minorHAnsi"/>
          <w:lang w:val="en-GB"/>
        </w:rPr>
        <w:t>water</w:t>
      </w:r>
      <w:proofErr w:type="gramEnd"/>
      <w:r w:rsidRPr="009B5B67">
        <w:rPr>
          <w:rFonts w:cstheme="minorHAnsi"/>
          <w:lang w:val="en-GB"/>
        </w:rPr>
        <w:t xml:space="preserve"> and soil, to improving monitoring of infectious</w:t>
      </w:r>
      <w:r w:rsidRPr="009B5B67" w:rsidDel="006A60E5">
        <w:rPr>
          <w:rFonts w:cstheme="minorHAnsi"/>
          <w:lang w:val="en-GB"/>
        </w:rPr>
        <w:t xml:space="preserve"> </w:t>
      </w:r>
      <w:r w:rsidRPr="009B5B67">
        <w:rPr>
          <w:rFonts w:cstheme="minorHAnsi"/>
          <w:lang w:val="en-GB"/>
        </w:rPr>
        <w:t xml:space="preserve">diseases, those aimed at improving the position of vulnerable population groups (prevention of chronic diseases, poverty reduction, improving access to health care services), and measures aimed at strengthening the capacities of health care institutions and services, could be indirectly understood as climate change adaptation measures. </w:t>
      </w:r>
    </w:p>
    <w:p w14:paraId="02F26871" w14:textId="77777777" w:rsidR="00503AE8" w:rsidRPr="009B5B67" w:rsidRDefault="00503AE8" w:rsidP="00503AE8">
      <w:pPr>
        <w:rPr>
          <w:rFonts w:cstheme="minorHAnsi"/>
          <w:lang w:val="en-GB"/>
        </w:rPr>
      </w:pPr>
      <w:r w:rsidRPr="009B5B67">
        <w:rPr>
          <w:rFonts w:cstheme="minorHAnsi"/>
          <w:lang w:val="en-GB"/>
        </w:rPr>
        <w:t xml:space="preserve">Nevertheless, it is necessary to conduct a detailed vulnerability assessment on the territory of Serbia, to plan adaptation measures, to set priorities and to mainstream them in the strategic documents of the public health sector. Problems that might arise in this process are primarily the lack of relevant systematised data needed for assessment of climate change effects on health, and insufficient funding and capacities. Therefore, as a first step it is necessary to </w:t>
      </w:r>
      <w:r w:rsidRPr="009B5B67">
        <w:rPr>
          <w:rFonts w:cstheme="minorHAnsi"/>
          <w:b/>
          <w:i/>
          <w:lang w:val="en-GB"/>
        </w:rPr>
        <w:t>improve scientific research, cooperation and capacities in the field</w:t>
      </w:r>
      <w:r w:rsidRPr="009B5B67">
        <w:rPr>
          <w:rFonts w:cstheme="minorHAnsi"/>
          <w:lang w:val="en-GB"/>
        </w:rPr>
        <w:t xml:space="preserve"> and to </w:t>
      </w:r>
      <w:r w:rsidRPr="009B5B67">
        <w:rPr>
          <w:rFonts w:cstheme="minorHAnsi"/>
          <w:b/>
          <w:i/>
          <w:lang w:val="en-GB"/>
        </w:rPr>
        <w:t>establish a monitoring system on infectious diseases and vectors (</w:t>
      </w:r>
      <w:proofErr w:type="gramStart"/>
      <w:r w:rsidRPr="009B5B67">
        <w:rPr>
          <w:rFonts w:cstheme="minorHAnsi"/>
          <w:b/>
          <w:i/>
          <w:lang w:val="en-GB"/>
        </w:rPr>
        <w:t>i.e.</w:t>
      </w:r>
      <w:proofErr w:type="gramEnd"/>
      <w:r w:rsidRPr="009B5B67">
        <w:rPr>
          <w:rFonts w:cstheme="minorHAnsi"/>
          <w:b/>
          <w:i/>
          <w:lang w:val="en-GB"/>
        </w:rPr>
        <w:t xml:space="preserve"> mosquitos) introduced as a consequence of climate change</w:t>
      </w:r>
      <w:r w:rsidRPr="009B5B67">
        <w:rPr>
          <w:rFonts w:cstheme="minorHAnsi"/>
          <w:lang w:val="en-GB"/>
        </w:rPr>
        <w:t>.</w:t>
      </w:r>
    </w:p>
    <w:p w14:paraId="289D55EC" w14:textId="77777777" w:rsidR="00503AE8" w:rsidRPr="009B5B67" w:rsidRDefault="00503AE8" w:rsidP="00503AE8">
      <w:pPr>
        <w:rPr>
          <w:lang w:val="en-GB"/>
        </w:rPr>
      </w:pPr>
    </w:p>
    <w:p w14:paraId="36F61248" w14:textId="77777777" w:rsidR="00503AE8" w:rsidRPr="009B5B67" w:rsidRDefault="00503AE8" w:rsidP="00FD3D9F">
      <w:pPr>
        <w:pStyle w:val="Heading2"/>
        <w:widowControl w:val="0"/>
        <w:numPr>
          <w:ilvl w:val="1"/>
          <w:numId w:val="17"/>
        </w:numPr>
        <w:autoSpaceDE w:val="0"/>
        <w:autoSpaceDN w:val="0"/>
        <w:ind w:left="578" w:hanging="578"/>
        <w:jc w:val="left"/>
        <w:rPr>
          <w:b/>
          <w:lang w:val="en-GB"/>
        </w:rPr>
      </w:pPr>
      <w:bookmarkStart w:id="80" w:name="_Toc56411208"/>
      <w:bookmarkStart w:id="81" w:name="_Toc56439387"/>
      <w:r w:rsidRPr="009B5B67">
        <w:rPr>
          <w:b/>
          <w:lang w:val="en-GB"/>
        </w:rPr>
        <w:t>DISASTER RISK REDUCTION</w:t>
      </w:r>
      <w:bookmarkEnd w:id="80"/>
      <w:bookmarkEnd w:id="81"/>
    </w:p>
    <w:p w14:paraId="192832F1" w14:textId="77777777" w:rsidR="00503AE8" w:rsidRPr="009B5B67" w:rsidRDefault="00503AE8" w:rsidP="00503AE8">
      <w:pPr>
        <w:spacing w:line="276" w:lineRule="auto"/>
        <w:rPr>
          <w:rFonts w:cstheme="minorHAnsi"/>
          <w:lang w:val="en-GB"/>
        </w:rPr>
      </w:pPr>
      <w:r w:rsidRPr="009B5B67">
        <w:rPr>
          <w:rFonts w:cstheme="minorHAnsi"/>
          <w:lang w:val="en-GB"/>
        </w:rPr>
        <w:t>Serbia’s First NDC quotes that the damages caused by climate change and extreme weather events for the period 2000-2015 are estimated at minimum EUR 5 billion. Of this amount, more than 70% are damages caused by droughts and high temperatures. Individual events with highest damages are the drought of 2012 (EUR 2 billion) and the floods of 2014 (EUR 1.7 billion).</w:t>
      </w:r>
    </w:p>
    <w:p w14:paraId="75D7438B" w14:textId="0420D01A" w:rsidR="00503AE8" w:rsidRPr="009B5B67" w:rsidRDefault="00503AE8" w:rsidP="00D51214">
      <w:pPr>
        <w:spacing w:line="276" w:lineRule="auto"/>
        <w:rPr>
          <w:rFonts w:cstheme="minorHAnsi"/>
          <w:lang w:val="en-GB"/>
        </w:rPr>
      </w:pPr>
      <w:r w:rsidRPr="009B5B67">
        <w:rPr>
          <w:rFonts w:cstheme="minorHAnsi"/>
          <w:lang w:val="en-GB"/>
        </w:rPr>
        <w:t xml:space="preserve">The </w:t>
      </w:r>
      <w:r w:rsidRPr="009B5B67">
        <w:rPr>
          <w:rFonts w:cstheme="minorHAnsi"/>
          <w:b/>
          <w:lang w:val="en-GB"/>
        </w:rPr>
        <w:t>National Programme and the National Strategy for Protection and Rescue in Emergency Situation</w:t>
      </w:r>
      <w:r w:rsidRPr="009B5B67">
        <w:rPr>
          <w:rStyle w:val="FootnoteReference"/>
          <w:rFonts w:cstheme="minorHAnsi"/>
          <w:lang w:val="en-GB"/>
        </w:rPr>
        <w:footnoteReference w:id="31"/>
      </w:r>
      <w:r w:rsidRPr="009B5B67">
        <w:rPr>
          <w:rFonts w:cstheme="minorHAnsi"/>
          <w:lang w:val="en-GB"/>
        </w:rPr>
        <w:t xml:space="preserve"> were the basis for the adoption of the Action Plan for implementation of the National Disaster Risk Management Programme for the period 2017-2020. Its general goal is for the Republic of Serbia to build a disasters risk management system, to establish a system of inter-institutional cooperation, and to become more resilient to natural disasters and other hazards and to be capable to recover in a timely manner. </w:t>
      </w:r>
    </w:p>
    <w:p w14:paraId="5E471777" w14:textId="77777777" w:rsidR="00503AE8" w:rsidRPr="009B5B67" w:rsidRDefault="00503AE8" w:rsidP="00503AE8">
      <w:pPr>
        <w:spacing w:line="276" w:lineRule="auto"/>
        <w:rPr>
          <w:rFonts w:cstheme="minorHAnsi"/>
          <w:lang w:val="en-GB"/>
        </w:rPr>
      </w:pPr>
      <w:proofErr w:type="gramStart"/>
      <w:r w:rsidRPr="009B5B67">
        <w:rPr>
          <w:rFonts w:cstheme="minorHAnsi"/>
          <w:lang w:val="en-GB"/>
        </w:rPr>
        <w:t>On the basis of</w:t>
      </w:r>
      <w:proofErr w:type="gramEnd"/>
      <w:r w:rsidRPr="009B5B67">
        <w:rPr>
          <w:rFonts w:cstheme="minorHAnsi"/>
          <w:lang w:val="en-GB"/>
        </w:rPr>
        <w:t xml:space="preserve"> the </w:t>
      </w:r>
      <w:r w:rsidRPr="009B5B67">
        <w:rPr>
          <w:rFonts w:cstheme="minorHAnsi"/>
          <w:b/>
          <w:lang w:val="en-GB"/>
        </w:rPr>
        <w:t>National Strategy for Protection and Rescue in Emergency Situation</w:t>
      </w:r>
      <w:r w:rsidRPr="009B5B67">
        <w:rPr>
          <w:rStyle w:val="FootnoteReference"/>
          <w:rFonts w:cstheme="minorHAnsi"/>
          <w:lang w:val="en-GB"/>
        </w:rPr>
        <w:footnoteReference w:id="32"/>
      </w:r>
      <w:r w:rsidRPr="009B5B67">
        <w:rPr>
          <w:rFonts w:cstheme="minorHAnsi"/>
          <w:lang w:val="en-GB"/>
        </w:rPr>
        <w:t xml:space="preserve"> the </w:t>
      </w:r>
      <w:r w:rsidRPr="009B5B67">
        <w:rPr>
          <w:rFonts w:cstheme="minorHAnsi"/>
          <w:b/>
          <w:lang w:val="en-GB"/>
        </w:rPr>
        <w:t>Law on Disaster Risk Reduction and Emergency Management</w:t>
      </w:r>
      <w:r w:rsidRPr="009B5B67">
        <w:rPr>
          <w:rStyle w:val="FootnoteReference"/>
          <w:rFonts w:cstheme="minorHAnsi"/>
          <w:lang w:val="en-GB"/>
        </w:rPr>
        <w:footnoteReference w:id="33"/>
      </w:r>
      <w:r w:rsidRPr="009B5B67">
        <w:rPr>
          <w:rFonts w:cstheme="minorHAnsi"/>
          <w:lang w:val="en-GB"/>
        </w:rPr>
        <w:t xml:space="preserve"> was adopted. This Law introduced the obligation to develop </w:t>
      </w:r>
      <w:r w:rsidRPr="009B5B67">
        <w:rPr>
          <w:rFonts w:cstheme="minorHAnsi"/>
          <w:b/>
          <w:lang w:val="en-GB"/>
        </w:rPr>
        <w:t>Disaster Risk Assessments and Plans for Protection and Rescue</w:t>
      </w:r>
      <w:r w:rsidRPr="009B5B67">
        <w:rPr>
          <w:rFonts w:cstheme="minorHAnsi"/>
          <w:lang w:val="en-GB"/>
        </w:rPr>
        <w:t xml:space="preserve"> at national level, at the level of units of local self-governments, companies, public health, social and educational institutions, and legal entities. The methodology is also prescribed to conduct vulnerability assessments in case of natural disasters and other accidents and protection and rescue plans in emergencies.</w:t>
      </w:r>
    </w:p>
    <w:p w14:paraId="588D2B68" w14:textId="5BFC2B9A" w:rsidR="00503AE8" w:rsidRPr="009B5B67" w:rsidRDefault="00503AE8" w:rsidP="007C39FB">
      <w:pPr>
        <w:spacing w:line="276" w:lineRule="auto"/>
        <w:rPr>
          <w:rFonts w:cstheme="minorHAnsi"/>
          <w:lang w:val="en-GB"/>
        </w:rPr>
      </w:pPr>
      <w:r w:rsidRPr="009B5B67">
        <w:rPr>
          <w:rFonts w:cstheme="minorHAnsi"/>
          <w:lang w:val="en-GB"/>
        </w:rPr>
        <w:t xml:space="preserve">The </w:t>
      </w:r>
      <w:r w:rsidRPr="009B5B67">
        <w:rPr>
          <w:rFonts w:cstheme="minorHAnsi"/>
          <w:b/>
          <w:lang w:val="en-GB"/>
        </w:rPr>
        <w:t>Emergency Management Sector</w:t>
      </w:r>
      <w:r w:rsidRPr="009B5B67">
        <w:rPr>
          <w:rFonts w:cstheme="minorHAnsi"/>
          <w:lang w:val="en-GB"/>
        </w:rPr>
        <w:t xml:space="preserve"> of the Ministry of Internal Affairs conducted the </w:t>
      </w:r>
      <w:r w:rsidRPr="009B5B67">
        <w:rPr>
          <w:rFonts w:cstheme="minorHAnsi"/>
          <w:b/>
          <w:lang w:val="en-GB"/>
        </w:rPr>
        <w:t>Disaster Risks Assessment</w:t>
      </w:r>
      <w:r w:rsidRPr="009B5B67">
        <w:rPr>
          <w:rFonts w:cstheme="minorHAnsi"/>
          <w:lang w:val="en-GB"/>
        </w:rPr>
        <w:t xml:space="preserve"> for the Republic of Serbia</w:t>
      </w:r>
      <w:r w:rsidRPr="009B5B67">
        <w:rPr>
          <w:rStyle w:val="FootnoteReference"/>
          <w:rFonts w:cstheme="minorHAnsi"/>
          <w:lang w:val="en-GB"/>
        </w:rPr>
        <w:footnoteReference w:id="34"/>
      </w:r>
      <w:r w:rsidRPr="009B5B67">
        <w:rPr>
          <w:rFonts w:cstheme="minorHAnsi"/>
          <w:lang w:val="en-GB"/>
        </w:rPr>
        <w:t xml:space="preserve">, which was adopted in March 2019. </w:t>
      </w:r>
      <w:r w:rsidR="007C39FB" w:rsidRPr="009B5B67">
        <w:rPr>
          <w:rFonts w:cstheme="minorHAnsi"/>
          <w:lang w:val="en-GB"/>
        </w:rPr>
        <w:t xml:space="preserve">It is also responsible for collection and </w:t>
      </w:r>
      <w:r w:rsidR="00075D19" w:rsidRPr="009B5B67">
        <w:rPr>
          <w:rFonts w:cstheme="minorHAnsi"/>
          <w:lang w:val="en-GB"/>
        </w:rPr>
        <w:t>publishing</w:t>
      </w:r>
      <w:r w:rsidR="007C39FB" w:rsidRPr="009B5B67">
        <w:rPr>
          <w:rFonts w:cstheme="minorHAnsi"/>
          <w:lang w:val="en-GB"/>
        </w:rPr>
        <w:t xml:space="preserve"> data on loss and damage. </w:t>
      </w:r>
    </w:p>
    <w:p w14:paraId="0F224B60" w14:textId="77777777" w:rsidR="00503AE8" w:rsidRPr="009B5B67" w:rsidRDefault="00503AE8" w:rsidP="00503AE8">
      <w:pPr>
        <w:spacing w:line="276" w:lineRule="auto"/>
        <w:rPr>
          <w:rFonts w:cstheme="majorHAnsi"/>
          <w:lang w:val="en-GB"/>
        </w:rPr>
      </w:pPr>
    </w:p>
    <w:p w14:paraId="31B267DC" w14:textId="03D76B82" w:rsidR="00503AE8" w:rsidRPr="009B5B67" w:rsidRDefault="00503AE8" w:rsidP="00FD3D9F">
      <w:pPr>
        <w:pStyle w:val="Heading3"/>
        <w:keepNext w:val="0"/>
        <w:keepLines w:val="0"/>
        <w:widowControl w:val="0"/>
        <w:numPr>
          <w:ilvl w:val="2"/>
          <w:numId w:val="17"/>
        </w:numPr>
        <w:autoSpaceDE w:val="0"/>
        <w:autoSpaceDN w:val="0"/>
        <w:spacing w:before="127"/>
        <w:jc w:val="left"/>
        <w:rPr>
          <w:b w:val="0"/>
          <w:lang w:val="en-GB"/>
        </w:rPr>
      </w:pPr>
      <w:bookmarkStart w:id="82" w:name="_Toc56411209"/>
      <w:bookmarkStart w:id="83" w:name="_Toc56439388"/>
      <w:r w:rsidRPr="009B5B67">
        <w:rPr>
          <w:lang w:val="en-GB"/>
        </w:rPr>
        <w:t>FINANCIAL ASSESSMENT OF LOSS AND DAMAGE</w:t>
      </w:r>
      <w:bookmarkEnd w:id="82"/>
      <w:bookmarkEnd w:id="83"/>
      <w:r w:rsidRPr="009B5B67">
        <w:rPr>
          <w:lang w:val="en-GB"/>
        </w:rPr>
        <w:t xml:space="preserve"> </w:t>
      </w:r>
    </w:p>
    <w:p w14:paraId="24472F6D" w14:textId="45C82808" w:rsidR="00503AE8" w:rsidRPr="009B5B67" w:rsidRDefault="00503AE8" w:rsidP="00503AE8">
      <w:pPr>
        <w:rPr>
          <w:rFonts w:cstheme="minorHAnsi"/>
          <w:lang w:val="en-GB"/>
        </w:rPr>
      </w:pPr>
      <w:r w:rsidRPr="009B5B67">
        <w:rPr>
          <w:rFonts w:cstheme="minorHAnsi"/>
          <w:lang w:val="en-GB"/>
        </w:rPr>
        <w:lastRenderedPageBreak/>
        <w:t xml:space="preserve">The </w:t>
      </w:r>
      <w:r w:rsidRPr="009B5B67">
        <w:rPr>
          <w:rFonts w:cstheme="minorHAnsi"/>
          <w:b/>
          <w:lang w:val="en-GB"/>
        </w:rPr>
        <w:t>assessment of loss and damage caused by natural disasters</w:t>
      </w:r>
      <w:r w:rsidRPr="009B5B67">
        <w:rPr>
          <w:rFonts w:cstheme="minorHAnsi"/>
          <w:lang w:val="en-GB"/>
        </w:rPr>
        <w:t xml:space="preserve"> in the Republic of Serbia is done using the </w:t>
      </w:r>
      <w:r w:rsidRPr="009B5B67">
        <w:rPr>
          <w:rFonts w:cstheme="minorHAnsi"/>
          <w:b/>
          <w:lang w:val="en-GB"/>
        </w:rPr>
        <w:t>Guidance on a unique methodology for assessing the damage from natural disasters</w:t>
      </w:r>
      <w:r w:rsidRPr="009B5B67">
        <w:rPr>
          <w:rStyle w:val="FootnoteReference"/>
          <w:rFonts w:cstheme="minorHAnsi"/>
          <w:lang w:val="en-GB"/>
        </w:rPr>
        <w:footnoteReference w:id="35"/>
      </w:r>
      <w:r w:rsidRPr="009B5B67">
        <w:rPr>
          <w:rFonts w:cstheme="minorHAnsi"/>
          <w:lang w:val="en-GB"/>
        </w:rPr>
        <w:t xml:space="preserve"> adopted in 1987. Since the methodology is outdated and not very detailed, in practice the financial assessment is done only for adverse events with large consequences on infrastructure and housing, such as floods and earthquakes. </w:t>
      </w:r>
    </w:p>
    <w:p w14:paraId="61269871" w14:textId="0FECD74C" w:rsidR="00503AE8" w:rsidRPr="009B5B67" w:rsidRDefault="003D05E6" w:rsidP="00503AE8">
      <w:pPr>
        <w:rPr>
          <w:rFonts w:cstheme="minorHAnsi"/>
          <w:lang w:val="en-GB"/>
        </w:rPr>
      </w:pPr>
      <w:r w:rsidRPr="009B5B67">
        <w:rPr>
          <w:rFonts w:cstheme="minorHAnsi"/>
          <w:lang w:val="en-GB"/>
        </w:rPr>
        <w:t>F</w:t>
      </w:r>
      <w:r w:rsidR="00503AE8" w:rsidRPr="009B5B67">
        <w:rPr>
          <w:rFonts w:cstheme="minorHAnsi"/>
          <w:lang w:val="en-GB"/>
        </w:rPr>
        <w:t xml:space="preserve">inancial assessment of loss and damage of natural disasters in the period 2015-2020 in Serbia was done using </w:t>
      </w:r>
      <w:r w:rsidR="00075D19" w:rsidRPr="009B5B67">
        <w:rPr>
          <w:rFonts w:cstheme="minorHAnsi"/>
          <w:lang w:val="en-GB"/>
        </w:rPr>
        <w:t>publicly</w:t>
      </w:r>
      <w:r w:rsidR="00503AE8" w:rsidRPr="009B5B67">
        <w:rPr>
          <w:rFonts w:cstheme="minorHAnsi"/>
          <w:lang w:val="en-GB"/>
        </w:rPr>
        <w:t xml:space="preserve"> available data from different sources. In the Table 2 presented are minimum estimated loss and damage for the natural disasters and extreme weather events recorded in Serbia in 2015-2020 period. This analysis finds that Serbia suffered damage of minimum 1.8 billion EUR in this five</w:t>
      </w:r>
      <w:r w:rsidR="00075D19">
        <w:rPr>
          <w:rFonts w:cstheme="minorHAnsi"/>
          <w:lang w:val="en-GB"/>
        </w:rPr>
        <w:t>-</w:t>
      </w:r>
      <w:r w:rsidR="00503AE8" w:rsidRPr="009B5B67">
        <w:rPr>
          <w:rFonts w:cstheme="minorHAnsi"/>
          <w:lang w:val="en-GB"/>
        </w:rPr>
        <w:t>year long period.</w:t>
      </w:r>
    </w:p>
    <w:p w14:paraId="20B2FF52" w14:textId="77777777" w:rsidR="00503AE8" w:rsidRPr="009B5B67" w:rsidRDefault="00503AE8" w:rsidP="00503AE8">
      <w:pPr>
        <w:rPr>
          <w:rFonts w:cstheme="minorHAnsi"/>
          <w:lang w:val="en-GB"/>
        </w:rPr>
      </w:pPr>
    </w:p>
    <w:p w14:paraId="0DF99F38" w14:textId="77777777" w:rsidR="00503AE8" w:rsidRPr="009B5B67" w:rsidRDefault="00503AE8" w:rsidP="00503AE8">
      <w:pPr>
        <w:pStyle w:val="Caption"/>
        <w:tabs>
          <w:tab w:val="left" w:pos="851"/>
        </w:tabs>
        <w:ind w:left="851" w:hanging="851"/>
        <w:rPr>
          <w:rFonts w:cstheme="minorHAnsi"/>
          <w:lang w:val="en-GB"/>
        </w:rPr>
      </w:pPr>
      <w:bookmarkStart w:id="84" w:name="_Toc56415841"/>
      <w:r w:rsidRPr="009B5B67">
        <w:rPr>
          <w:lang w:val="en-GB"/>
        </w:rPr>
        <w:t xml:space="preserve">Table </w:t>
      </w:r>
      <w:r w:rsidRPr="009B5B67">
        <w:rPr>
          <w:lang w:val="en-GB"/>
        </w:rPr>
        <w:fldChar w:fldCharType="begin"/>
      </w:r>
      <w:r w:rsidRPr="009B5B67">
        <w:rPr>
          <w:lang w:val="en-GB"/>
        </w:rPr>
        <w:instrText xml:space="preserve"> SEQ Table \* ARABIC </w:instrText>
      </w:r>
      <w:r w:rsidRPr="009B5B67">
        <w:rPr>
          <w:lang w:val="en-GB"/>
        </w:rPr>
        <w:fldChar w:fldCharType="separate"/>
      </w:r>
      <w:r w:rsidRPr="009B5B67">
        <w:rPr>
          <w:noProof/>
          <w:lang w:val="en-GB"/>
        </w:rPr>
        <w:t>2</w:t>
      </w:r>
      <w:r w:rsidRPr="009B5B67">
        <w:rPr>
          <w:lang w:val="en-GB"/>
        </w:rPr>
        <w:fldChar w:fldCharType="end"/>
      </w:r>
      <w:r w:rsidRPr="009B5B67">
        <w:rPr>
          <w:lang w:val="en-GB"/>
        </w:rPr>
        <w:tab/>
      </w:r>
      <w:r w:rsidRPr="009B5B67">
        <w:rPr>
          <w:rFonts w:cstheme="minorHAnsi"/>
          <w:lang w:val="en-GB"/>
        </w:rPr>
        <w:t>Minimum estimated loss and damage for the natural disasters and extreme weather events recorded in Serbia in 2015-2020</w:t>
      </w:r>
      <w:bookmarkEnd w:id="84"/>
      <w:r w:rsidRPr="009B5B67">
        <w:rPr>
          <w:rFonts w:cstheme="minorHAnsi"/>
          <w:lang w:val="en-GB"/>
        </w:rPr>
        <w:t xml:space="preserve"> </w:t>
      </w:r>
    </w:p>
    <w:tbl>
      <w:tblPr>
        <w:tblStyle w:val="TableGrid"/>
        <w:tblW w:w="0" w:type="auto"/>
        <w:tblLook w:val="04A0" w:firstRow="1" w:lastRow="0" w:firstColumn="1" w:lastColumn="0" w:noHBand="0" w:noVBand="1"/>
      </w:tblPr>
      <w:tblGrid>
        <w:gridCol w:w="1980"/>
        <w:gridCol w:w="1134"/>
        <w:gridCol w:w="2410"/>
        <w:gridCol w:w="1842"/>
        <w:gridCol w:w="2552"/>
      </w:tblGrid>
      <w:tr w:rsidR="00503AE8" w:rsidRPr="009B5B67" w14:paraId="70294081" w14:textId="77777777" w:rsidTr="00A96906">
        <w:trPr>
          <w:tblHeader/>
        </w:trPr>
        <w:tc>
          <w:tcPr>
            <w:tcW w:w="1980" w:type="dxa"/>
            <w:shd w:val="clear" w:color="auto" w:fill="D5DCE4" w:themeFill="text2" w:themeFillTint="33"/>
          </w:tcPr>
          <w:p w14:paraId="3C5DE430" w14:textId="77777777" w:rsidR="00503AE8" w:rsidRPr="009B5B67" w:rsidRDefault="00503AE8" w:rsidP="00A96906">
            <w:pPr>
              <w:spacing w:before="60" w:after="40" w:line="240" w:lineRule="auto"/>
              <w:jc w:val="center"/>
              <w:rPr>
                <w:rFonts w:cs="Arial"/>
                <w:b/>
                <w:sz w:val="18"/>
                <w:szCs w:val="18"/>
                <w:lang w:val="en-GB"/>
              </w:rPr>
            </w:pPr>
            <w:r w:rsidRPr="009B5B67">
              <w:rPr>
                <w:rFonts w:cs="Arial"/>
                <w:b/>
                <w:sz w:val="18"/>
                <w:szCs w:val="18"/>
                <w:lang w:val="en-GB"/>
              </w:rPr>
              <w:t>Event</w:t>
            </w:r>
          </w:p>
        </w:tc>
        <w:tc>
          <w:tcPr>
            <w:tcW w:w="1134" w:type="dxa"/>
            <w:shd w:val="clear" w:color="auto" w:fill="D5DCE4" w:themeFill="text2" w:themeFillTint="33"/>
          </w:tcPr>
          <w:p w14:paraId="7907CBCB" w14:textId="77777777" w:rsidR="00503AE8" w:rsidRPr="009B5B67" w:rsidRDefault="00503AE8" w:rsidP="00A96906">
            <w:pPr>
              <w:spacing w:before="60" w:after="40" w:line="240" w:lineRule="auto"/>
              <w:jc w:val="center"/>
              <w:rPr>
                <w:rFonts w:cs="Arial"/>
                <w:b/>
                <w:sz w:val="18"/>
                <w:szCs w:val="18"/>
                <w:lang w:val="en-GB"/>
              </w:rPr>
            </w:pPr>
            <w:r w:rsidRPr="009B5B67">
              <w:rPr>
                <w:rFonts w:cs="Arial"/>
                <w:b/>
                <w:sz w:val="18"/>
                <w:szCs w:val="18"/>
                <w:lang w:val="en-GB"/>
              </w:rPr>
              <w:t>Period</w:t>
            </w:r>
          </w:p>
        </w:tc>
        <w:tc>
          <w:tcPr>
            <w:tcW w:w="2410" w:type="dxa"/>
            <w:shd w:val="clear" w:color="auto" w:fill="D5DCE4" w:themeFill="text2" w:themeFillTint="33"/>
          </w:tcPr>
          <w:p w14:paraId="3B221A17" w14:textId="77777777" w:rsidR="00503AE8" w:rsidRPr="009B5B67" w:rsidRDefault="00503AE8" w:rsidP="00A96906">
            <w:pPr>
              <w:spacing w:before="60" w:after="40" w:line="240" w:lineRule="auto"/>
              <w:jc w:val="center"/>
              <w:rPr>
                <w:rFonts w:cs="Arial"/>
                <w:b/>
                <w:sz w:val="18"/>
                <w:szCs w:val="18"/>
                <w:lang w:val="en-GB"/>
              </w:rPr>
            </w:pPr>
            <w:r w:rsidRPr="009B5B67">
              <w:rPr>
                <w:rFonts w:cs="Arial"/>
                <w:b/>
                <w:sz w:val="18"/>
                <w:szCs w:val="18"/>
                <w:lang w:val="en-GB"/>
              </w:rPr>
              <w:t>Details</w:t>
            </w:r>
          </w:p>
        </w:tc>
        <w:tc>
          <w:tcPr>
            <w:tcW w:w="1842" w:type="dxa"/>
            <w:shd w:val="clear" w:color="auto" w:fill="D5DCE4" w:themeFill="text2" w:themeFillTint="33"/>
          </w:tcPr>
          <w:p w14:paraId="264FBB33" w14:textId="77777777" w:rsidR="00503AE8" w:rsidRPr="009B5B67" w:rsidRDefault="00503AE8" w:rsidP="00A96906">
            <w:pPr>
              <w:spacing w:before="60" w:after="40" w:line="240" w:lineRule="auto"/>
              <w:jc w:val="center"/>
              <w:rPr>
                <w:rFonts w:cs="Arial"/>
                <w:b/>
                <w:sz w:val="18"/>
                <w:szCs w:val="18"/>
                <w:lang w:val="en-GB"/>
              </w:rPr>
            </w:pPr>
            <w:r w:rsidRPr="009B5B67">
              <w:rPr>
                <w:rFonts w:cs="Arial"/>
                <w:b/>
                <w:sz w:val="18"/>
                <w:szCs w:val="18"/>
                <w:lang w:val="en-GB"/>
              </w:rPr>
              <w:t>Minimum estimate of loss and damage (EUR)</w:t>
            </w:r>
          </w:p>
        </w:tc>
        <w:tc>
          <w:tcPr>
            <w:tcW w:w="2552" w:type="dxa"/>
            <w:shd w:val="clear" w:color="auto" w:fill="D5DCE4" w:themeFill="text2" w:themeFillTint="33"/>
          </w:tcPr>
          <w:p w14:paraId="5BCD5B02" w14:textId="77777777" w:rsidR="00503AE8" w:rsidRPr="009B5B67" w:rsidRDefault="00503AE8" w:rsidP="00A96906">
            <w:pPr>
              <w:spacing w:before="60" w:after="40" w:line="240" w:lineRule="auto"/>
              <w:jc w:val="center"/>
              <w:rPr>
                <w:rFonts w:cs="Arial"/>
                <w:b/>
                <w:sz w:val="18"/>
                <w:szCs w:val="18"/>
                <w:lang w:val="en-GB"/>
              </w:rPr>
            </w:pPr>
            <w:r w:rsidRPr="009B5B67">
              <w:rPr>
                <w:rFonts w:cs="Arial"/>
                <w:b/>
                <w:sz w:val="18"/>
                <w:szCs w:val="18"/>
                <w:lang w:val="en-GB"/>
              </w:rPr>
              <w:t>Data source</w:t>
            </w:r>
          </w:p>
        </w:tc>
      </w:tr>
      <w:tr w:rsidR="00503AE8" w:rsidRPr="000324FE" w14:paraId="3448167C" w14:textId="77777777" w:rsidTr="00A96906">
        <w:tc>
          <w:tcPr>
            <w:tcW w:w="1980" w:type="dxa"/>
          </w:tcPr>
          <w:p w14:paraId="799C7A76"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Flooding</w:t>
            </w:r>
          </w:p>
        </w:tc>
        <w:tc>
          <w:tcPr>
            <w:tcW w:w="1134" w:type="dxa"/>
          </w:tcPr>
          <w:p w14:paraId="03130CC3"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January-March 2015</w:t>
            </w:r>
          </w:p>
        </w:tc>
        <w:tc>
          <w:tcPr>
            <w:tcW w:w="2410" w:type="dxa"/>
          </w:tcPr>
          <w:p w14:paraId="0CDD4D1D"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Several municipalities of central, </w:t>
            </w:r>
            <w:proofErr w:type="gramStart"/>
            <w:r w:rsidRPr="009B5B67">
              <w:rPr>
                <w:rFonts w:cs="Arial"/>
                <w:sz w:val="18"/>
                <w:szCs w:val="18"/>
                <w:lang w:val="en-GB"/>
              </w:rPr>
              <w:t>southern</w:t>
            </w:r>
            <w:proofErr w:type="gramEnd"/>
            <w:r w:rsidRPr="009B5B67">
              <w:rPr>
                <w:rFonts w:cs="Arial"/>
                <w:sz w:val="18"/>
                <w:szCs w:val="18"/>
                <w:lang w:val="en-GB"/>
              </w:rPr>
              <w:t xml:space="preserve"> and western Serbia were affected </w:t>
            </w:r>
          </w:p>
        </w:tc>
        <w:tc>
          <w:tcPr>
            <w:tcW w:w="1842" w:type="dxa"/>
          </w:tcPr>
          <w:p w14:paraId="20E414D3"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7,730</w:t>
            </w:r>
          </w:p>
        </w:tc>
        <w:tc>
          <w:tcPr>
            <w:tcW w:w="2552" w:type="dxa"/>
          </w:tcPr>
          <w:p w14:paraId="68FFB177"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Public Investment Management Office and </w:t>
            </w:r>
            <w:proofErr w:type="spellStart"/>
            <w:r w:rsidRPr="009B5B67">
              <w:rPr>
                <w:rFonts w:cs="Arial"/>
                <w:sz w:val="18"/>
                <w:szCs w:val="18"/>
                <w:lang w:val="en-GB"/>
              </w:rPr>
              <w:t>DesInventar</w:t>
            </w:r>
            <w:proofErr w:type="spellEnd"/>
          </w:p>
        </w:tc>
      </w:tr>
      <w:tr w:rsidR="00503AE8" w:rsidRPr="000324FE" w14:paraId="66E2BAFF" w14:textId="77777777" w:rsidTr="00A96906">
        <w:tc>
          <w:tcPr>
            <w:tcW w:w="1980" w:type="dxa"/>
          </w:tcPr>
          <w:p w14:paraId="4C935296"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Flooding</w:t>
            </w:r>
          </w:p>
        </w:tc>
        <w:tc>
          <w:tcPr>
            <w:tcW w:w="1134" w:type="dxa"/>
          </w:tcPr>
          <w:p w14:paraId="4AD41F88"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March 2016</w:t>
            </w:r>
          </w:p>
        </w:tc>
        <w:tc>
          <w:tcPr>
            <w:tcW w:w="2410" w:type="dxa"/>
          </w:tcPr>
          <w:p w14:paraId="46CA727B"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16 municipalities of central and western Serbia were affected</w:t>
            </w:r>
          </w:p>
        </w:tc>
        <w:tc>
          <w:tcPr>
            <w:tcW w:w="1842" w:type="dxa"/>
          </w:tcPr>
          <w:p w14:paraId="5F96BCDC"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1,648,665</w:t>
            </w:r>
          </w:p>
        </w:tc>
        <w:tc>
          <w:tcPr>
            <w:tcW w:w="2552" w:type="dxa"/>
          </w:tcPr>
          <w:p w14:paraId="34D83E81"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Public Investment Management Office and </w:t>
            </w:r>
            <w:proofErr w:type="spellStart"/>
            <w:r w:rsidRPr="009B5B67">
              <w:rPr>
                <w:rFonts w:cs="Arial"/>
                <w:sz w:val="18"/>
                <w:szCs w:val="18"/>
                <w:lang w:val="en-GB"/>
              </w:rPr>
              <w:t>DesInventar</w:t>
            </w:r>
            <w:proofErr w:type="spellEnd"/>
          </w:p>
        </w:tc>
      </w:tr>
      <w:tr w:rsidR="00503AE8" w:rsidRPr="000324FE" w14:paraId="228E7319" w14:textId="77777777" w:rsidTr="00A96906">
        <w:tc>
          <w:tcPr>
            <w:tcW w:w="1980" w:type="dxa"/>
          </w:tcPr>
          <w:p w14:paraId="232CA434"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Flooding</w:t>
            </w:r>
          </w:p>
        </w:tc>
        <w:tc>
          <w:tcPr>
            <w:tcW w:w="1134" w:type="dxa"/>
          </w:tcPr>
          <w:p w14:paraId="02A41106"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May-June 2017</w:t>
            </w:r>
          </w:p>
        </w:tc>
        <w:tc>
          <w:tcPr>
            <w:tcW w:w="2410" w:type="dxa"/>
          </w:tcPr>
          <w:p w14:paraId="6B2DB425"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12 municipalities of central and western Serbia were affected</w:t>
            </w:r>
          </w:p>
        </w:tc>
        <w:tc>
          <w:tcPr>
            <w:tcW w:w="1842" w:type="dxa"/>
          </w:tcPr>
          <w:p w14:paraId="5364ECA6"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280,538</w:t>
            </w:r>
          </w:p>
        </w:tc>
        <w:tc>
          <w:tcPr>
            <w:tcW w:w="2552" w:type="dxa"/>
          </w:tcPr>
          <w:p w14:paraId="61D77ACA"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Public Investment Management Office and </w:t>
            </w:r>
            <w:proofErr w:type="spellStart"/>
            <w:r w:rsidRPr="009B5B67">
              <w:rPr>
                <w:rFonts w:cs="Arial"/>
                <w:sz w:val="18"/>
                <w:szCs w:val="18"/>
                <w:lang w:val="en-GB"/>
              </w:rPr>
              <w:t>DesInventar</w:t>
            </w:r>
            <w:proofErr w:type="spellEnd"/>
          </w:p>
        </w:tc>
      </w:tr>
      <w:tr w:rsidR="00503AE8" w:rsidRPr="000324FE" w14:paraId="79A49490" w14:textId="77777777" w:rsidTr="00A96906">
        <w:tc>
          <w:tcPr>
            <w:tcW w:w="1980" w:type="dxa"/>
          </w:tcPr>
          <w:p w14:paraId="4DE24625"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Flooding</w:t>
            </w:r>
          </w:p>
        </w:tc>
        <w:tc>
          <w:tcPr>
            <w:tcW w:w="1134" w:type="dxa"/>
          </w:tcPr>
          <w:p w14:paraId="7CA9DEE4"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March-April 2018</w:t>
            </w:r>
          </w:p>
        </w:tc>
        <w:tc>
          <w:tcPr>
            <w:tcW w:w="2410" w:type="dxa"/>
          </w:tcPr>
          <w:p w14:paraId="1BD8CEC9" w14:textId="77777777" w:rsidR="00503AE8" w:rsidRPr="009B5B67" w:rsidRDefault="00503AE8" w:rsidP="00A96906">
            <w:pPr>
              <w:spacing w:before="60" w:after="40" w:line="240" w:lineRule="auto"/>
              <w:jc w:val="left"/>
              <w:rPr>
                <w:rFonts w:cs="Arial"/>
                <w:sz w:val="18"/>
                <w:szCs w:val="18"/>
                <w:lang w:val="en-GB"/>
              </w:rPr>
            </w:pPr>
            <w:r w:rsidRPr="009B5B67">
              <w:rPr>
                <w:rFonts w:cs="Arial"/>
                <w:color w:val="000000"/>
                <w:sz w:val="18"/>
                <w:szCs w:val="18"/>
                <w:lang w:val="en-GB"/>
              </w:rPr>
              <w:t xml:space="preserve">19 </w:t>
            </w:r>
            <w:r w:rsidRPr="009B5B67">
              <w:rPr>
                <w:rFonts w:cs="Arial"/>
                <w:sz w:val="18"/>
                <w:szCs w:val="18"/>
                <w:lang w:val="en-GB"/>
              </w:rPr>
              <w:t xml:space="preserve">municipalities of central, </w:t>
            </w:r>
            <w:proofErr w:type="gramStart"/>
            <w:r w:rsidRPr="009B5B67">
              <w:rPr>
                <w:rFonts w:cs="Arial"/>
                <w:sz w:val="18"/>
                <w:szCs w:val="18"/>
                <w:lang w:val="en-GB"/>
              </w:rPr>
              <w:t>eastern</w:t>
            </w:r>
            <w:proofErr w:type="gramEnd"/>
            <w:r w:rsidRPr="009B5B67">
              <w:rPr>
                <w:rFonts w:cs="Arial"/>
                <w:sz w:val="18"/>
                <w:szCs w:val="18"/>
                <w:lang w:val="en-GB"/>
              </w:rPr>
              <w:t xml:space="preserve"> and western Serbia were affected</w:t>
            </w:r>
          </w:p>
        </w:tc>
        <w:tc>
          <w:tcPr>
            <w:tcW w:w="1842" w:type="dxa"/>
          </w:tcPr>
          <w:p w14:paraId="6781B588"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2,511,880</w:t>
            </w:r>
          </w:p>
        </w:tc>
        <w:tc>
          <w:tcPr>
            <w:tcW w:w="2552" w:type="dxa"/>
          </w:tcPr>
          <w:p w14:paraId="761E0B4E"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Public Investment Management Office and </w:t>
            </w:r>
            <w:proofErr w:type="spellStart"/>
            <w:r w:rsidRPr="009B5B67">
              <w:rPr>
                <w:rFonts w:cs="Arial"/>
                <w:sz w:val="18"/>
                <w:szCs w:val="18"/>
                <w:lang w:val="en-GB"/>
              </w:rPr>
              <w:t>DesInventar</w:t>
            </w:r>
            <w:proofErr w:type="spellEnd"/>
          </w:p>
        </w:tc>
      </w:tr>
      <w:tr w:rsidR="00503AE8" w:rsidRPr="000324FE" w14:paraId="40132F65" w14:textId="77777777" w:rsidTr="00A96906">
        <w:tc>
          <w:tcPr>
            <w:tcW w:w="1980" w:type="dxa"/>
          </w:tcPr>
          <w:p w14:paraId="39E44170"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Flooding</w:t>
            </w:r>
          </w:p>
        </w:tc>
        <w:tc>
          <w:tcPr>
            <w:tcW w:w="1134" w:type="dxa"/>
          </w:tcPr>
          <w:p w14:paraId="04AF3989"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May-August 2018</w:t>
            </w:r>
          </w:p>
        </w:tc>
        <w:tc>
          <w:tcPr>
            <w:tcW w:w="2410" w:type="dxa"/>
          </w:tcPr>
          <w:p w14:paraId="513EFA0F"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23 municipalities of central, </w:t>
            </w:r>
            <w:proofErr w:type="gramStart"/>
            <w:r w:rsidRPr="009B5B67">
              <w:rPr>
                <w:rFonts w:cs="Arial"/>
                <w:sz w:val="18"/>
                <w:szCs w:val="18"/>
                <w:lang w:val="en-GB"/>
              </w:rPr>
              <w:t>eastern</w:t>
            </w:r>
            <w:proofErr w:type="gramEnd"/>
            <w:r w:rsidRPr="009B5B67">
              <w:rPr>
                <w:rFonts w:cs="Arial"/>
                <w:sz w:val="18"/>
                <w:szCs w:val="18"/>
                <w:lang w:val="en-GB"/>
              </w:rPr>
              <w:t xml:space="preserve"> and western Serbia were affected</w:t>
            </w:r>
          </w:p>
        </w:tc>
        <w:tc>
          <w:tcPr>
            <w:tcW w:w="1842" w:type="dxa"/>
          </w:tcPr>
          <w:p w14:paraId="780C019D"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313,288,986</w:t>
            </w:r>
          </w:p>
        </w:tc>
        <w:tc>
          <w:tcPr>
            <w:tcW w:w="2552" w:type="dxa"/>
          </w:tcPr>
          <w:p w14:paraId="7FA6E103"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Public Investment Management Office and </w:t>
            </w:r>
            <w:proofErr w:type="spellStart"/>
            <w:r w:rsidRPr="009B5B67">
              <w:rPr>
                <w:rFonts w:cs="Arial"/>
                <w:sz w:val="18"/>
                <w:szCs w:val="18"/>
                <w:lang w:val="en-GB"/>
              </w:rPr>
              <w:t>DesInventar</w:t>
            </w:r>
            <w:proofErr w:type="spellEnd"/>
          </w:p>
        </w:tc>
      </w:tr>
      <w:tr w:rsidR="00503AE8" w:rsidRPr="000324FE" w14:paraId="6353F09F" w14:textId="77777777" w:rsidTr="00A96906">
        <w:tc>
          <w:tcPr>
            <w:tcW w:w="1980" w:type="dxa"/>
          </w:tcPr>
          <w:p w14:paraId="3B0E008C"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Flooding</w:t>
            </w:r>
          </w:p>
        </w:tc>
        <w:tc>
          <w:tcPr>
            <w:tcW w:w="1134" w:type="dxa"/>
          </w:tcPr>
          <w:p w14:paraId="2337BFF2"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June 2019</w:t>
            </w:r>
          </w:p>
        </w:tc>
        <w:tc>
          <w:tcPr>
            <w:tcW w:w="2410" w:type="dxa"/>
          </w:tcPr>
          <w:p w14:paraId="2CCB6C86"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22 municipalities of central, </w:t>
            </w:r>
            <w:proofErr w:type="gramStart"/>
            <w:r w:rsidRPr="009B5B67">
              <w:rPr>
                <w:rFonts w:cs="Arial"/>
                <w:sz w:val="18"/>
                <w:szCs w:val="18"/>
                <w:lang w:val="en-GB"/>
              </w:rPr>
              <w:t>eastern</w:t>
            </w:r>
            <w:proofErr w:type="gramEnd"/>
            <w:r w:rsidRPr="009B5B67">
              <w:rPr>
                <w:rFonts w:cs="Arial"/>
                <w:sz w:val="18"/>
                <w:szCs w:val="18"/>
                <w:lang w:val="en-GB"/>
              </w:rPr>
              <w:t xml:space="preserve"> and western Serbia were affected</w:t>
            </w:r>
          </w:p>
        </w:tc>
        <w:tc>
          <w:tcPr>
            <w:tcW w:w="1842" w:type="dxa"/>
          </w:tcPr>
          <w:p w14:paraId="130F20B5"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3,661,793</w:t>
            </w:r>
          </w:p>
        </w:tc>
        <w:tc>
          <w:tcPr>
            <w:tcW w:w="2552" w:type="dxa"/>
          </w:tcPr>
          <w:p w14:paraId="466672EE"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Public Investment Management Office and </w:t>
            </w:r>
            <w:proofErr w:type="spellStart"/>
            <w:r w:rsidRPr="009B5B67">
              <w:rPr>
                <w:rFonts w:cs="Arial"/>
                <w:sz w:val="18"/>
                <w:szCs w:val="18"/>
                <w:lang w:val="en-GB"/>
              </w:rPr>
              <w:t>DesInventar</w:t>
            </w:r>
            <w:proofErr w:type="spellEnd"/>
          </w:p>
        </w:tc>
      </w:tr>
      <w:tr w:rsidR="00503AE8" w:rsidRPr="000324FE" w14:paraId="106E8C99" w14:textId="77777777" w:rsidTr="00A96906">
        <w:tc>
          <w:tcPr>
            <w:tcW w:w="1980" w:type="dxa"/>
          </w:tcPr>
          <w:p w14:paraId="2642EDA3"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Flooding</w:t>
            </w:r>
          </w:p>
        </w:tc>
        <w:tc>
          <w:tcPr>
            <w:tcW w:w="1134" w:type="dxa"/>
          </w:tcPr>
          <w:p w14:paraId="70A352F0"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June-July 2020</w:t>
            </w:r>
          </w:p>
        </w:tc>
        <w:tc>
          <w:tcPr>
            <w:tcW w:w="2410" w:type="dxa"/>
          </w:tcPr>
          <w:p w14:paraId="44B1C164" w14:textId="77777777" w:rsidR="00503AE8" w:rsidRPr="009B5B67" w:rsidRDefault="00503AE8" w:rsidP="00A96906">
            <w:pPr>
              <w:spacing w:before="60" w:after="40" w:line="240" w:lineRule="auto"/>
              <w:jc w:val="left"/>
              <w:rPr>
                <w:rFonts w:cs="Arial"/>
                <w:sz w:val="18"/>
                <w:szCs w:val="18"/>
                <w:lang w:val="en-GB"/>
              </w:rPr>
            </w:pPr>
          </w:p>
        </w:tc>
        <w:tc>
          <w:tcPr>
            <w:tcW w:w="1842" w:type="dxa"/>
          </w:tcPr>
          <w:p w14:paraId="7254EB12"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4,383,303</w:t>
            </w:r>
          </w:p>
        </w:tc>
        <w:tc>
          <w:tcPr>
            <w:tcW w:w="2552" w:type="dxa"/>
          </w:tcPr>
          <w:p w14:paraId="3ECB1843"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Public Investment Management Office and </w:t>
            </w:r>
            <w:proofErr w:type="spellStart"/>
            <w:r w:rsidRPr="009B5B67">
              <w:rPr>
                <w:rFonts w:cs="Arial"/>
                <w:sz w:val="18"/>
                <w:szCs w:val="18"/>
                <w:lang w:val="en-GB"/>
              </w:rPr>
              <w:t>DesInventar</w:t>
            </w:r>
            <w:proofErr w:type="spellEnd"/>
          </w:p>
        </w:tc>
      </w:tr>
      <w:tr w:rsidR="00503AE8" w:rsidRPr="000324FE" w14:paraId="73DBD8D0" w14:textId="77777777" w:rsidTr="00A96906">
        <w:tc>
          <w:tcPr>
            <w:tcW w:w="1980" w:type="dxa"/>
          </w:tcPr>
          <w:p w14:paraId="7C147D47"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Forest fire</w:t>
            </w:r>
          </w:p>
        </w:tc>
        <w:tc>
          <w:tcPr>
            <w:tcW w:w="1134" w:type="dxa"/>
          </w:tcPr>
          <w:p w14:paraId="391719BC"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2015</w:t>
            </w:r>
          </w:p>
        </w:tc>
        <w:tc>
          <w:tcPr>
            <w:tcW w:w="2410" w:type="dxa"/>
          </w:tcPr>
          <w:p w14:paraId="46430E66"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1,033 ha of forest were affected and 5,059 m</w:t>
            </w:r>
            <w:r w:rsidRPr="009B5B67">
              <w:rPr>
                <w:rFonts w:cs="Arial"/>
                <w:sz w:val="18"/>
                <w:szCs w:val="18"/>
                <w:vertAlign w:val="superscript"/>
                <w:lang w:val="en-GB"/>
              </w:rPr>
              <w:t>3</w:t>
            </w:r>
            <w:r w:rsidRPr="009B5B67">
              <w:rPr>
                <w:rFonts w:cs="Arial"/>
                <w:sz w:val="18"/>
                <w:szCs w:val="18"/>
                <w:lang w:val="en-GB"/>
              </w:rPr>
              <w:t xml:space="preserve"> of trees were damaged</w:t>
            </w:r>
          </w:p>
        </w:tc>
        <w:tc>
          <w:tcPr>
            <w:tcW w:w="1842" w:type="dxa"/>
          </w:tcPr>
          <w:p w14:paraId="158C3560"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128,619</w:t>
            </w:r>
          </w:p>
        </w:tc>
        <w:tc>
          <w:tcPr>
            <w:tcW w:w="2552" w:type="dxa"/>
          </w:tcPr>
          <w:p w14:paraId="3EE860F1"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in the Republic of Serbia 2015</w:t>
            </w:r>
          </w:p>
        </w:tc>
      </w:tr>
      <w:tr w:rsidR="00503AE8" w:rsidRPr="000324FE" w14:paraId="5B6B6B50" w14:textId="77777777" w:rsidTr="00A96906">
        <w:tc>
          <w:tcPr>
            <w:tcW w:w="1980" w:type="dxa"/>
          </w:tcPr>
          <w:p w14:paraId="5419868B"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Forest fire</w:t>
            </w:r>
          </w:p>
        </w:tc>
        <w:tc>
          <w:tcPr>
            <w:tcW w:w="1134" w:type="dxa"/>
          </w:tcPr>
          <w:p w14:paraId="724B5A62"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2016</w:t>
            </w:r>
          </w:p>
        </w:tc>
        <w:tc>
          <w:tcPr>
            <w:tcW w:w="2410" w:type="dxa"/>
          </w:tcPr>
          <w:p w14:paraId="4FD76447"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317 ha of forest were affected and 37,114 m</w:t>
            </w:r>
            <w:r w:rsidRPr="009B5B67">
              <w:rPr>
                <w:rFonts w:cs="Arial"/>
                <w:sz w:val="18"/>
                <w:szCs w:val="18"/>
                <w:vertAlign w:val="superscript"/>
                <w:lang w:val="en-GB"/>
              </w:rPr>
              <w:t>3</w:t>
            </w:r>
            <w:r w:rsidRPr="009B5B67">
              <w:rPr>
                <w:rFonts w:cs="Arial"/>
                <w:sz w:val="18"/>
                <w:szCs w:val="18"/>
                <w:lang w:val="en-GB"/>
              </w:rPr>
              <w:t xml:space="preserve"> of trees were damaged</w:t>
            </w:r>
          </w:p>
        </w:tc>
        <w:tc>
          <w:tcPr>
            <w:tcW w:w="1842" w:type="dxa"/>
          </w:tcPr>
          <w:p w14:paraId="152EC93E"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943,576</w:t>
            </w:r>
          </w:p>
        </w:tc>
        <w:tc>
          <w:tcPr>
            <w:tcW w:w="2552" w:type="dxa"/>
          </w:tcPr>
          <w:p w14:paraId="3EEB1402"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2016</w:t>
            </w:r>
          </w:p>
        </w:tc>
      </w:tr>
      <w:tr w:rsidR="00503AE8" w:rsidRPr="000324FE" w14:paraId="180AC1F4" w14:textId="77777777" w:rsidTr="00A96906">
        <w:tc>
          <w:tcPr>
            <w:tcW w:w="1980" w:type="dxa"/>
          </w:tcPr>
          <w:p w14:paraId="4300CD0E"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Forest fire</w:t>
            </w:r>
          </w:p>
        </w:tc>
        <w:tc>
          <w:tcPr>
            <w:tcW w:w="1134" w:type="dxa"/>
          </w:tcPr>
          <w:p w14:paraId="10C768A2"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2017</w:t>
            </w:r>
          </w:p>
        </w:tc>
        <w:tc>
          <w:tcPr>
            <w:tcW w:w="2410" w:type="dxa"/>
          </w:tcPr>
          <w:p w14:paraId="4D05BA76"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1,258 ha of forest were affected and 11,415 m</w:t>
            </w:r>
            <w:r w:rsidRPr="009B5B67">
              <w:rPr>
                <w:rFonts w:cs="Arial"/>
                <w:sz w:val="18"/>
                <w:szCs w:val="18"/>
                <w:vertAlign w:val="superscript"/>
                <w:lang w:val="en-GB"/>
              </w:rPr>
              <w:t>3</w:t>
            </w:r>
            <w:r w:rsidRPr="009B5B67">
              <w:rPr>
                <w:rFonts w:cs="Arial"/>
                <w:sz w:val="18"/>
                <w:szCs w:val="18"/>
                <w:lang w:val="en-GB"/>
              </w:rPr>
              <w:t xml:space="preserve"> of trees were damaged</w:t>
            </w:r>
          </w:p>
        </w:tc>
        <w:tc>
          <w:tcPr>
            <w:tcW w:w="1842" w:type="dxa"/>
          </w:tcPr>
          <w:p w14:paraId="6FCF0FC4"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290,212</w:t>
            </w:r>
          </w:p>
        </w:tc>
        <w:tc>
          <w:tcPr>
            <w:tcW w:w="2552" w:type="dxa"/>
          </w:tcPr>
          <w:p w14:paraId="759CB64E"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2017</w:t>
            </w:r>
          </w:p>
        </w:tc>
      </w:tr>
      <w:tr w:rsidR="00503AE8" w:rsidRPr="000324FE" w14:paraId="1BC41D16" w14:textId="77777777" w:rsidTr="00A96906">
        <w:tc>
          <w:tcPr>
            <w:tcW w:w="1980" w:type="dxa"/>
          </w:tcPr>
          <w:p w14:paraId="6FBF6B9B"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Forest fire</w:t>
            </w:r>
          </w:p>
        </w:tc>
        <w:tc>
          <w:tcPr>
            <w:tcW w:w="1134" w:type="dxa"/>
          </w:tcPr>
          <w:p w14:paraId="1D8FFB78"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2018</w:t>
            </w:r>
          </w:p>
        </w:tc>
        <w:tc>
          <w:tcPr>
            <w:tcW w:w="2410" w:type="dxa"/>
          </w:tcPr>
          <w:p w14:paraId="37AEDC46"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690 ha of forest were affected and 707 m</w:t>
            </w:r>
            <w:r w:rsidRPr="009B5B67">
              <w:rPr>
                <w:rFonts w:cs="Arial"/>
                <w:sz w:val="18"/>
                <w:szCs w:val="18"/>
                <w:vertAlign w:val="superscript"/>
                <w:lang w:val="en-GB"/>
              </w:rPr>
              <w:t>3</w:t>
            </w:r>
            <w:r w:rsidRPr="009B5B67">
              <w:rPr>
                <w:rFonts w:cs="Arial"/>
                <w:sz w:val="18"/>
                <w:szCs w:val="18"/>
                <w:lang w:val="en-GB"/>
              </w:rPr>
              <w:t xml:space="preserve"> of trees were damaged</w:t>
            </w:r>
          </w:p>
        </w:tc>
        <w:tc>
          <w:tcPr>
            <w:tcW w:w="1842" w:type="dxa"/>
          </w:tcPr>
          <w:p w14:paraId="4A452D50"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17,975</w:t>
            </w:r>
          </w:p>
        </w:tc>
        <w:tc>
          <w:tcPr>
            <w:tcW w:w="2552" w:type="dxa"/>
          </w:tcPr>
          <w:p w14:paraId="5AE845A1"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2018</w:t>
            </w:r>
          </w:p>
        </w:tc>
      </w:tr>
      <w:tr w:rsidR="00503AE8" w:rsidRPr="000324FE" w14:paraId="7006480D" w14:textId="77777777" w:rsidTr="00A96906">
        <w:tc>
          <w:tcPr>
            <w:tcW w:w="1980" w:type="dxa"/>
          </w:tcPr>
          <w:p w14:paraId="4D9CA889"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lastRenderedPageBreak/>
              <w:t>Forest fire</w:t>
            </w:r>
          </w:p>
        </w:tc>
        <w:tc>
          <w:tcPr>
            <w:tcW w:w="1134" w:type="dxa"/>
          </w:tcPr>
          <w:p w14:paraId="0DFA7DEB"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2019</w:t>
            </w:r>
          </w:p>
        </w:tc>
        <w:tc>
          <w:tcPr>
            <w:tcW w:w="2410" w:type="dxa"/>
          </w:tcPr>
          <w:p w14:paraId="5DBD544B"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4,068 ha of forest were affected and 2,397 m</w:t>
            </w:r>
            <w:r w:rsidRPr="009B5B67">
              <w:rPr>
                <w:rFonts w:cs="Arial"/>
                <w:sz w:val="18"/>
                <w:szCs w:val="18"/>
                <w:vertAlign w:val="superscript"/>
                <w:lang w:val="en-GB"/>
              </w:rPr>
              <w:t>3</w:t>
            </w:r>
            <w:r w:rsidRPr="009B5B67">
              <w:rPr>
                <w:rFonts w:cs="Arial"/>
                <w:sz w:val="18"/>
                <w:szCs w:val="18"/>
                <w:lang w:val="en-GB"/>
              </w:rPr>
              <w:t xml:space="preserve"> of trees were damaged</w:t>
            </w:r>
          </w:p>
        </w:tc>
        <w:tc>
          <w:tcPr>
            <w:tcW w:w="1842" w:type="dxa"/>
          </w:tcPr>
          <w:p w14:paraId="4357BCBA"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60,941</w:t>
            </w:r>
          </w:p>
        </w:tc>
        <w:tc>
          <w:tcPr>
            <w:tcW w:w="2552" w:type="dxa"/>
          </w:tcPr>
          <w:p w14:paraId="17F01299"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2019</w:t>
            </w:r>
          </w:p>
        </w:tc>
      </w:tr>
      <w:tr w:rsidR="00503AE8" w:rsidRPr="000324FE" w14:paraId="0933BFDC" w14:textId="77777777" w:rsidTr="00A96906">
        <w:tc>
          <w:tcPr>
            <w:tcW w:w="1980" w:type="dxa"/>
          </w:tcPr>
          <w:p w14:paraId="3C071E13"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Extreme weather events in forests (wind, rain, hail, snow, ice) </w:t>
            </w:r>
          </w:p>
        </w:tc>
        <w:tc>
          <w:tcPr>
            <w:tcW w:w="1134" w:type="dxa"/>
          </w:tcPr>
          <w:p w14:paraId="78198269"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2015</w:t>
            </w:r>
          </w:p>
        </w:tc>
        <w:tc>
          <w:tcPr>
            <w:tcW w:w="2410" w:type="dxa"/>
          </w:tcPr>
          <w:p w14:paraId="05ACE93D"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14,154 ha of forest were affected and 116,431 m</w:t>
            </w:r>
            <w:r w:rsidRPr="009B5B67">
              <w:rPr>
                <w:rFonts w:cs="Arial"/>
                <w:sz w:val="18"/>
                <w:szCs w:val="18"/>
                <w:vertAlign w:val="superscript"/>
                <w:lang w:val="en-GB"/>
              </w:rPr>
              <w:t>3</w:t>
            </w:r>
            <w:r w:rsidRPr="009B5B67">
              <w:rPr>
                <w:rFonts w:cs="Arial"/>
                <w:sz w:val="18"/>
                <w:szCs w:val="18"/>
                <w:lang w:val="en-GB"/>
              </w:rPr>
              <w:t xml:space="preserve"> of trees were damaged</w:t>
            </w:r>
          </w:p>
        </w:tc>
        <w:tc>
          <w:tcPr>
            <w:tcW w:w="1842" w:type="dxa"/>
          </w:tcPr>
          <w:p w14:paraId="557C7CA3"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2,960,110</w:t>
            </w:r>
          </w:p>
        </w:tc>
        <w:tc>
          <w:tcPr>
            <w:tcW w:w="2552" w:type="dxa"/>
          </w:tcPr>
          <w:p w14:paraId="23C64AE4"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in the Republic of Serbia 2015</w:t>
            </w:r>
          </w:p>
        </w:tc>
      </w:tr>
      <w:tr w:rsidR="00503AE8" w:rsidRPr="000324FE" w14:paraId="4C29AEF0" w14:textId="77777777" w:rsidTr="00A96906">
        <w:tc>
          <w:tcPr>
            <w:tcW w:w="1980" w:type="dxa"/>
          </w:tcPr>
          <w:p w14:paraId="215402C9"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Extreme weather events in forests (wind, rain, hail, snow, ice) </w:t>
            </w:r>
          </w:p>
        </w:tc>
        <w:tc>
          <w:tcPr>
            <w:tcW w:w="1134" w:type="dxa"/>
          </w:tcPr>
          <w:p w14:paraId="2EFBA4C6"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2016</w:t>
            </w:r>
          </w:p>
        </w:tc>
        <w:tc>
          <w:tcPr>
            <w:tcW w:w="2410" w:type="dxa"/>
          </w:tcPr>
          <w:p w14:paraId="06ED0BE9"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2,637 ha of forest were affected and 86,826 m</w:t>
            </w:r>
            <w:r w:rsidRPr="009B5B67">
              <w:rPr>
                <w:rFonts w:cs="Arial"/>
                <w:sz w:val="18"/>
                <w:szCs w:val="18"/>
                <w:vertAlign w:val="superscript"/>
                <w:lang w:val="en-GB"/>
              </w:rPr>
              <w:t>3</w:t>
            </w:r>
            <w:r w:rsidRPr="009B5B67">
              <w:rPr>
                <w:rFonts w:cs="Arial"/>
                <w:sz w:val="18"/>
                <w:szCs w:val="18"/>
                <w:lang w:val="en-GB"/>
              </w:rPr>
              <w:t xml:space="preserve"> </w:t>
            </w:r>
            <w:proofErr w:type="spellStart"/>
            <w:r w:rsidRPr="009B5B67">
              <w:rPr>
                <w:rFonts w:cs="Arial"/>
                <w:sz w:val="18"/>
                <w:szCs w:val="18"/>
                <w:lang w:val="en-GB"/>
              </w:rPr>
              <w:t>drveća</w:t>
            </w:r>
            <w:proofErr w:type="spellEnd"/>
          </w:p>
        </w:tc>
        <w:tc>
          <w:tcPr>
            <w:tcW w:w="1842" w:type="dxa"/>
          </w:tcPr>
          <w:p w14:paraId="4EEEA42A"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2,207,441</w:t>
            </w:r>
          </w:p>
        </w:tc>
        <w:tc>
          <w:tcPr>
            <w:tcW w:w="2552" w:type="dxa"/>
          </w:tcPr>
          <w:p w14:paraId="341CB3C7"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2016</w:t>
            </w:r>
          </w:p>
        </w:tc>
      </w:tr>
      <w:tr w:rsidR="00503AE8" w:rsidRPr="000324FE" w14:paraId="3CDD6E1F" w14:textId="77777777" w:rsidTr="00A96906">
        <w:tc>
          <w:tcPr>
            <w:tcW w:w="1980" w:type="dxa"/>
          </w:tcPr>
          <w:p w14:paraId="7628F843"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Extreme weather events in forests (wind, rain, hail, snow, ice) </w:t>
            </w:r>
          </w:p>
        </w:tc>
        <w:tc>
          <w:tcPr>
            <w:tcW w:w="1134" w:type="dxa"/>
          </w:tcPr>
          <w:p w14:paraId="1CC922B2"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2017</w:t>
            </w:r>
          </w:p>
        </w:tc>
        <w:tc>
          <w:tcPr>
            <w:tcW w:w="2410" w:type="dxa"/>
          </w:tcPr>
          <w:p w14:paraId="6B44BFFB"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10,084 ha of forest were affected and 44,074 m</w:t>
            </w:r>
            <w:r w:rsidRPr="009B5B67">
              <w:rPr>
                <w:rFonts w:cs="Arial"/>
                <w:sz w:val="18"/>
                <w:szCs w:val="18"/>
                <w:vertAlign w:val="superscript"/>
                <w:lang w:val="en-GB"/>
              </w:rPr>
              <w:t>3</w:t>
            </w:r>
            <w:r w:rsidRPr="009B5B67">
              <w:rPr>
                <w:rFonts w:cs="Arial"/>
                <w:sz w:val="18"/>
                <w:szCs w:val="18"/>
                <w:lang w:val="en-GB"/>
              </w:rPr>
              <w:t xml:space="preserve"> of trees were damaged</w:t>
            </w:r>
          </w:p>
        </w:tc>
        <w:tc>
          <w:tcPr>
            <w:tcW w:w="1842" w:type="dxa"/>
          </w:tcPr>
          <w:p w14:paraId="4785FEAA"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1,120,525</w:t>
            </w:r>
          </w:p>
        </w:tc>
        <w:tc>
          <w:tcPr>
            <w:tcW w:w="2552" w:type="dxa"/>
          </w:tcPr>
          <w:p w14:paraId="7A878A9C"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2017</w:t>
            </w:r>
          </w:p>
        </w:tc>
      </w:tr>
      <w:tr w:rsidR="00503AE8" w:rsidRPr="000324FE" w14:paraId="79836B25" w14:textId="77777777" w:rsidTr="00A96906">
        <w:tc>
          <w:tcPr>
            <w:tcW w:w="1980" w:type="dxa"/>
          </w:tcPr>
          <w:p w14:paraId="15D66106"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Extreme weather events in forests (wind, rain, hail, snow, ice) </w:t>
            </w:r>
          </w:p>
        </w:tc>
        <w:tc>
          <w:tcPr>
            <w:tcW w:w="1134" w:type="dxa"/>
          </w:tcPr>
          <w:p w14:paraId="5C54DAC6"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2018</w:t>
            </w:r>
          </w:p>
        </w:tc>
        <w:tc>
          <w:tcPr>
            <w:tcW w:w="2410" w:type="dxa"/>
          </w:tcPr>
          <w:p w14:paraId="3E59D597"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2,022 ha of forest were affected and 74,495 m</w:t>
            </w:r>
            <w:r w:rsidRPr="009B5B67">
              <w:rPr>
                <w:rFonts w:cs="Arial"/>
                <w:sz w:val="18"/>
                <w:szCs w:val="18"/>
                <w:vertAlign w:val="superscript"/>
                <w:lang w:val="en-GB"/>
              </w:rPr>
              <w:t>3</w:t>
            </w:r>
            <w:r w:rsidRPr="009B5B67">
              <w:rPr>
                <w:rFonts w:cs="Arial"/>
                <w:sz w:val="18"/>
                <w:szCs w:val="18"/>
                <w:lang w:val="en-GB"/>
              </w:rPr>
              <w:t xml:space="preserve"> of trees were damaged</w:t>
            </w:r>
          </w:p>
        </w:tc>
        <w:tc>
          <w:tcPr>
            <w:tcW w:w="1842" w:type="dxa"/>
          </w:tcPr>
          <w:p w14:paraId="1763DEC5"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1,893,941</w:t>
            </w:r>
          </w:p>
        </w:tc>
        <w:tc>
          <w:tcPr>
            <w:tcW w:w="2552" w:type="dxa"/>
          </w:tcPr>
          <w:p w14:paraId="6D65E808"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2018</w:t>
            </w:r>
          </w:p>
        </w:tc>
      </w:tr>
      <w:tr w:rsidR="00503AE8" w:rsidRPr="000324FE" w14:paraId="2EF31E0C" w14:textId="77777777" w:rsidTr="00A96906">
        <w:tc>
          <w:tcPr>
            <w:tcW w:w="1980" w:type="dxa"/>
          </w:tcPr>
          <w:p w14:paraId="41B26E8A"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Extreme weather events in forests (wind, rain, hail, snow, ice) </w:t>
            </w:r>
          </w:p>
        </w:tc>
        <w:tc>
          <w:tcPr>
            <w:tcW w:w="1134" w:type="dxa"/>
          </w:tcPr>
          <w:p w14:paraId="754786F6"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2019</w:t>
            </w:r>
          </w:p>
        </w:tc>
        <w:tc>
          <w:tcPr>
            <w:tcW w:w="2410" w:type="dxa"/>
          </w:tcPr>
          <w:p w14:paraId="54117B9C"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1,999 ha of forest were affected and 58,028 m</w:t>
            </w:r>
            <w:r w:rsidRPr="009B5B67">
              <w:rPr>
                <w:rFonts w:cs="Arial"/>
                <w:sz w:val="18"/>
                <w:szCs w:val="18"/>
                <w:vertAlign w:val="superscript"/>
                <w:lang w:val="en-GB"/>
              </w:rPr>
              <w:t>3</w:t>
            </w:r>
            <w:r w:rsidRPr="009B5B67">
              <w:rPr>
                <w:rFonts w:cs="Arial"/>
                <w:sz w:val="18"/>
                <w:szCs w:val="18"/>
                <w:lang w:val="en-GB"/>
              </w:rPr>
              <w:t xml:space="preserve"> of trees were damaged</w:t>
            </w:r>
          </w:p>
        </w:tc>
        <w:tc>
          <w:tcPr>
            <w:tcW w:w="1842" w:type="dxa"/>
          </w:tcPr>
          <w:p w14:paraId="3DBFED68"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color w:val="000000"/>
                <w:sz w:val="18"/>
                <w:szCs w:val="18"/>
                <w:lang w:val="en-GB"/>
              </w:rPr>
              <w:t>1,475,288</w:t>
            </w:r>
          </w:p>
        </w:tc>
        <w:tc>
          <w:tcPr>
            <w:tcW w:w="2552" w:type="dxa"/>
          </w:tcPr>
          <w:p w14:paraId="0703918A"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Statistical Office of the Republic of Serbia, Forestry 2019</w:t>
            </w:r>
          </w:p>
        </w:tc>
      </w:tr>
      <w:tr w:rsidR="00503AE8" w:rsidRPr="000324FE" w14:paraId="2F2CD54D" w14:textId="77777777" w:rsidTr="00A96906">
        <w:tc>
          <w:tcPr>
            <w:tcW w:w="1980" w:type="dxa"/>
          </w:tcPr>
          <w:p w14:paraId="3FD46DB4"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Drought </w:t>
            </w:r>
          </w:p>
        </w:tc>
        <w:tc>
          <w:tcPr>
            <w:tcW w:w="1134" w:type="dxa"/>
          </w:tcPr>
          <w:p w14:paraId="538166D5"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2015</w:t>
            </w:r>
          </w:p>
        </w:tc>
        <w:tc>
          <w:tcPr>
            <w:tcW w:w="2410" w:type="dxa"/>
          </w:tcPr>
          <w:p w14:paraId="2652EE6B"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 xml:space="preserve">Estimated yield losses of wheat, </w:t>
            </w:r>
            <w:proofErr w:type="gramStart"/>
            <w:r w:rsidRPr="009B5B67">
              <w:rPr>
                <w:rFonts w:cs="Arial"/>
                <w:sz w:val="18"/>
                <w:szCs w:val="18"/>
                <w:lang w:val="en-GB"/>
              </w:rPr>
              <w:t>alfalfa</w:t>
            </w:r>
            <w:proofErr w:type="gramEnd"/>
            <w:r w:rsidRPr="009B5B67">
              <w:rPr>
                <w:rFonts w:cs="Arial"/>
                <w:sz w:val="18"/>
                <w:szCs w:val="18"/>
                <w:lang w:val="en-GB"/>
              </w:rPr>
              <w:t xml:space="preserve"> and clover</w:t>
            </w:r>
          </w:p>
        </w:tc>
        <w:tc>
          <w:tcPr>
            <w:tcW w:w="1842" w:type="dxa"/>
          </w:tcPr>
          <w:p w14:paraId="56914E12"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sz w:val="18"/>
                <w:szCs w:val="18"/>
                <w:lang w:val="en-GB"/>
              </w:rPr>
              <w:t>120,000,000</w:t>
            </w:r>
          </w:p>
        </w:tc>
        <w:tc>
          <w:tcPr>
            <w:tcW w:w="2552" w:type="dxa"/>
            <w:tcMar>
              <w:right w:w="57" w:type="dxa"/>
            </w:tcMar>
          </w:tcPr>
          <w:p w14:paraId="1F6CE228" w14:textId="77777777" w:rsidR="00503AE8" w:rsidRPr="009B5B67" w:rsidRDefault="00A96906" w:rsidP="00A96906">
            <w:pPr>
              <w:spacing w:before="60" w:after="40" w:line="240" w:lineRule="auto"/>
              <w:jc w:val="left"/>
              <w:rPr>
                <w:rFonts w:cs="Arial"/>
                <w:sz w:val="18"/>
                <w:szCs w:val="18"/>
                <w:lang w:val="en-GB"/>
              </w:rPr>
            </w:pPr>
            <w:r w:rsidRPr="009B5B67">
              <w:rPr>
                <w:rFonts w:cs="Arial"/>
                <w:sz w:val="18"/>
                <w:szCs w:val="18"/>
                <w:lang w:val="en-GB"/>
              </w:rPr>
              <w:t>3rd</w:t>
            </w:r>
            <w:r w:rsidR="00503AE8" w:rsidRPr="009B5B67">
              <w:rPr>
                <w:rFonts w:cs="Arial"/>
                <w:sz w:val="18"/>
                <w:szCs w:val="18"/>
                <w:lang w:val="en-GB"/>
              </w:rPr>
              <w:t xml:space="preserve"> National Communication of the Republic of Serbia - Report on agriculture vulnerability assessment, </w:t>
            </w:r>
            <w:proofErr w:type="spellStart"/>
            <w:r w:rsidR="00503AE8" w:rsidRPr="009B5B67">
              <w:rPr>
                <w:rFonts w:cs="Arial"/>
                <w:sz w:val="18"/>
                <w:szCs w:val="18"/>
                <w:lang w:val="en-GB"/>
              </w:rPr>
              <w:t>Stricevic</w:t>
            </w:r>
            <w:proofErr w:type="spellEnd"/>
            <w:r w:rsidR="00503AE8" w:rsidRPr="009B5B67">
              <w:rPr>
                <w:rFonts w:cs="Arial"/>
                <w:sz w:val="18"/>
                <w:szCs w:val="18"/>
                <w:lang w:val="en-GB"/>
              </w:rPr>
              <w:t xml:space="preserve"> et al., 2020</w:t>
            </w:r>
          </w:p>
        </w:tc>
      </w:tr>
      <w:tr w:rsidR="00503AE8" w:rsidRPr="009B5B67" w14:paraId="600BA798" w14:textId="77777777" w:rsidTr="00A96906">
        <w:tc>
          <w:tcPr>
            <w:tcW w:w="1980" w:type="dxa"/>
          </w:tcPr>
          <w:p w14:paraId="65FFAA5C"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Drought</w:t>
            </w:r>
          </w:p>
        </w:tc>
        <w:tc>
          <w:tcPr>
            <w:tcW w:w="1134" w:type="dxa"/>
          </w:tcPr>
          <w:p w14:paraId="1C377EE4"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2017</w:t>
            </w:r>
          </w:p>
        </w:tc>
        <w:tc>
          <w:tcPr>
            <w:tcW w:w="2410" w:type="dxa"/>
          </w:tcPr>
          <w:p w14:paraId="180BA0C9" w14:textId="77777777" w:rsidR="00503AE8" w:rsidRPr="009B5B67" w:rsidRDefault="00503AE8" w:rsidP="00A96906">
            <w:pPr>
              <w:spacing w:before="60" w:after="40" w:line="240" w:lineRule="auto"/>
              <w:jc w:val="left"/>
              <w:rPr>
                <w:rFonts w:cs="Arial"/>
                <w:sz w:val="18"/>
                <w:szCs w:val="18"/>
                <w:lang w:val="en-GB"/>
              </w:rPr>
            </w:pPr>
          </w:p>
        </w:tc>
        <w:tc>
          <w:tcPr>
            <w:tcW w:w="1842" w:type="dxa"/>
          </w:tcPr>
          <w:p w14:paraId="1123FC17" w14:textId="77777777" w:rsidR="00503AE8" w:rsidRPr="009B5B67" w:rsidRDefault="00503AE8" w:rsidP="00A96906">
            <w:pPr>
              <w:spacing w:before="60" w:after="40" w:line="240" w:lineRule="auto"/>
              <w:ind w:right="176"/>
              <w:jc w:val="right"/>
              <w:rPr>
                <w:rFonts w:cs="Arial"/>
                <w:color w:val="000000"/>
                <w:sz w:val="18"/>
                <w:szCs w:val="18"/>
                <w:lang w:val="en-GB"/>
              </w:rPr>
            </w:pPr>
            <w:r w:rsidRPr="009B5B67">
              <w:rPr>
                <w:rFonts w:cs="Arial"/>
                <w:color w:val="000000"/>
                <w:sz w:val="18"/>
                <w:szCs w:val="18"/>
                <w:lang w:val="en-GB"/>
              </w:rPr>
              <w:t>1,300,000,000</w:t>
            </w:r>
          </w:p>
        </w:tc>
        <w:tc>
          <w:tcPr>
            <w:tcW w:w="2552" w:type="dxa"/>
            <w:tcMar>
              <w:right w:w="57" w:type="dxa"/>
            </w:tcMar>
          </w:tcPr>
          <w:p w14:paraId="2C8AB342" w14:textId="77777777" w:rsidR="00503AE8" w:rsidRPr="009B5B67" w:rsidRDefault="00503AE8" w:rsidP="00A96906">
            <w:pPr>
              <w:spacing w:before="60" w:after="40" w:line="240" w:lineRule="auto"/>
              <w:jc w:val="left"/>
              <w:rPr>
                <w:rFonts w:cs="Arial"/>
                <w:sz w:val="18"/>
                <w:szCs w:val="18"/>
                <w:lang w:val="en-GB"/>
              </w:rPr>
            </w:pPr>
            <w:proofErr w:type="spellStart"/>
            <w:r w:rsidRPr="009B5B67">
              <w:rPr>
                <w:rFonts w:cs="Arial"/>
                <w:sz w:val="18"/>
                <w:szCs w:val="18"/>
                <w:lang w:val="en-GB"/>
              </w:rPr>
              <w:t>Maslac</w:t>
            </w:r>
            <w:proofErr w:type="spellEnd"/>
            <w:r w:rsidRPr="009B5B67">
              <w:rPr>
                <w:rFonts w:cs="Arial"/>
                <w:sz w:val="18"/>
                <w:szCs w:val="18"/>
                <w:lang w:val="en-GB"/>
              </w:rPr>
              <w:t>, 2018</w:t>
            </w:r>
            <w:r w:rsidRPr="009B5B67">
              <w:rPr>
                <w:rStyle w:val="FootnoteReference"/>
                <w:rFonts w:cs="Arial"/>
                <w:sz w:val="18"/>
                <w:szCs w:val="18"/>
                <w:lang w:val="en-GB"/>
              </w:rPr>
              <w:footnoteReference w:id="36"/>
            </w:r>
          </w:p>
        </w:tc>
      </w:tr>
      <w:tr w:rsidR="00503AE8" w:rsidRPr="009B5B67" w14:paraId="67DB546A" w14:textId="77777777" w:rsidTr="00A96906">
        <w:tc>
          <w:tcPr>
            <w:tcW w:w="1980" w:type="dxa"/>
          </w:tcPr>
          <w:p w14:paraId="3A294A09"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Hailstorm</w:t>
            </w:r>
          </w:p>
        </w:tc>
        <w:tc>
          <w:tcPr>
            <w:tcW w:w="1134" w:type="dxa"/>
          </w:tcPr>
          <w:p w14:paraId="5D0A109D"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2015-2020</w:t>
            </w:r>
          </w:p>
        </w:tc>
        <w:tc>
          <w:tcPr>
            <w:tcW w:w="2410" w:type="dxa"/>
          </w:tcPr>
          <w:p w14:paraId="662C2C9A"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67 recorded events over 5 years, from May to August</w:t>
            </w:r>
          </w:p>
        </w:tc>
        <w:tc>
          <w:tcPr>
            <w:tcW w:w="1842" w:type="dxa"/>
          </w:tcPr>
          <w:p w14:paraId="47B7FA6B"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sz w:val="18"/>
                <w:szCs w:val="18"/>
                <w:lang w:val="en-GB"/>
              </w:rPr>
              <w:t>35,200,000</w:t>
            </w:r>
          </w:p>
        </w:tc>
        <w:tc>
          <w:tcPr>
            <w:tcW w:w="2552" w:type="dxa"/>
          </w:tcPr>
          <w:p w14:paraId="780EB8FA" w14:textId="77777777" w:rsidR="00503AE8" w:rsidRPr="009B5B67" w:rsidRDefault="00503AE8" w:rsidP="00A96906">
            <w:pPr>
              <w:spacing w:before="60" w:after="40" w:line="240" w:lineRule="auto"/>
              <w:jc w:val="left"/>
              <w:rPr>
                <w:rFonts w:cs="Arial"/>
                <w:sz w:val="18"/>
                <w:szCs w:val="18"/>
                <w:lang w:val="en-GB"/>
              </w:rPr>
            </w:pPr>
            <w:proofErr w:type="spellStart"/>
            <w:r w:rsidRPr="009B5B67">
              <w:rPr>
                <w:rFonts w:cs="Arial"/>
                <w:sz w:val="18"/>
                <w:szCs w:val="18"/>
                <w:lang w:val="en-GB"/>
              </w:rPr>
              <w:t>DesInventar</w:t>
            </w:r>
            <w:proofErr w:type="spellEnd"/>
          </w:p>
        </w:tc>
      </w:tr>
      <w:tr w:rsidR="00503AE8" w:rsidRPr="009B5B67" w14:paraId="3CCCEDEF" w14:textId="77777777" w:rsidTr="00A96906">
        <w:tc>
          <w:tcPr>
            <w:tcW w:w="1980" w:type="dxa"/>
          </w:tcPr>
          <w:p w14:paraId="6442619D"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Windstorm</w:t>
            </w:r>
          </w:p>
        </w:tc>
        <w:tc>
          <w:tcPr>
            <w:tcW w:w="1134" w:type="dxa"/>
          </w:tcPr>
          <w:p w14:paraId="61A7AE95"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2015-2020</w:t>
            </w:r>
          </w:p>
        </w:tc>
        <w:tc>
          <w:tcPr>
            <w:tcW w:w="2410" w:type="dxa"/>
          </w:tcPr>
          <w:p w14:paraId="78E16F34"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23 recorded events over 5 years</w:t>
            </w:r>
          </w:p>
        </w:tc>
        <w:tc>
          <w:tcPr>
            <w:tcW w:w="1842" w:type="dxa"/>
          </w:tcPr>
          <w:p w14:paraId="7B741F5D"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sz w:val="18"/>
                <w:szCs w:val="18"/>
                <w:lang w:val="en-GB"/>
              </w:rPr>
              <w:t>7,814,200</w:t>
            </w:r>
          </w:p>
        </w:tc>
        <w:tc>
          <w:tcPr>
            <w:tcW w:w="2552" w:type="dxa"/>
          </w:tcPr>
          <w:p w14:paraId="30E42E31" w14:textId="77777777" w:rsidR="00503AE8" w:rsidRPr="009B5B67" w:rsidRDefault="00503AE8" w:rsidP="00A96906">
            <w:pPr>
              <w:spacing w:before="60" w:after="40" w:line="240" w:lineRule="auto"/>
              <w:jc w:val="left"/>
              <w:rPr>
                <w:rFonts w:cs="Arial"/>
                <w:sz w:val="18"/>
                <w:szCs w:val="18"/>
                <w:lang w:val="en-GB"/>
              </w:rPr>
            </w:pPr>
            <w:proofErr w:type="spellStart"/>
            <w:r w:rsidRPr="009B5B67">
              <w:rPr>
                <w:rFonts w:cs="Arial"/>
                <w:sz w:val="18"/>
                <w:szCs w:val="18"/>
                <w:lang w:val="en-GB"/>
              </w:rPr>
              <w:t>DesInventar</w:t>
            </w:r>
            <w:proofErr w:type="spellEnd"/>
          </w:p>
        </w:tc>
      </w:tr>
      <w:tr w:rsidR="00503AE8" w:rsidRPr="009B5B67" w14:paraId="495F8779" w14:textId="77777777" w:rsidTr="00A96906">
        <w:tc>
          <w:tcPr>
            <w:tcW w:w="1980" w:type="dxa"/>
          </w:tcPr>
          <w:p w14:paraId="1CD0C564" w14:textId="77777777" w:rsidR="00503AE8" w:rsidRPr="009B5B67" w:rsidRDefault="00503AE8" w:rsidP="00A96906">
            <w:pPr>
              <w:spacing w:before="60" w:after="40" w:line="240" w:lineRule="auto"/>
              <w:rPr>
                <w:rFonts w:cs="Arial"/>
                <w:sz w:val="18"/>
                <w:szCs w:val="18"/>
                <w:lang w:val="en-GB"/>
              </w:rPr>
            </w:pPr>
            <w:r w:rsidRPr="009B5B67">
              <w:rPr>
                <w:rFonts w:cs="Arial"/>
                <w:sz w:val="18"/>
                <w:szCs w:val="18"/>
                <w:lang w:val="en-GB"/>
              </w:rPr>
              <w:t>Snowstorm</w:t>
            </w:r>
          </w:p>
        </w:tc>
        <w:tc>
          <w:tcPr>
            <w:tcW w:w="1134" w:type="dxa"/>
          </w:tcPr>
          <w:p w14:paraId="10313F75" w14:textId="77777777" w:rsidR="00503AE8" w:rsidRPr="009B5B67" w:rsidRDefault="00503AE8" w:rsidP="00A96906">
            <w:pPr>
              <w:spacing w:before="60" w:after="40" w:line="240" w:lineRule="auto"/>
              <w:jc w:val="center"/>
              <w:rPr>
                <w:rFonts w:cs="Arial"/>
                <w:sz w:val="18"/>
                <w:szCs w:val="18"/>
                <w:lang w:val="en-GB"/>
              </w:rPr>
            </w:pPr>
            <w:r w:rsidRPr="009B5B67">
              <w:rPr>
                <w:rFonts w:cs="Arial"/>
                <w:sz w:val="18"/>
                <w:szCs w:val="18"/>
                <w:lang w:val="en-GB"/>
              </w:rPr>
              <w:t>2015-2020</w:t>
            </w:r>
          </w:p>
        </w:tc>
        <w:tc>
          <w:tcPr>
            <w:tcW w:w="2410" w:type="dxa"/>
          </w:tcPr>
          <w:p w14:paraId="4C5C32D6" w14:textId="77777777" w:rsidR="00503AE8" w:rsidRPr="009B5B67" w:rsidRDefault="00503AE8" w:rsidP="00A96906">
            <w:pPr>
              <w:spacing w:before="60" w:after="40" w:line="240" w:lineRule="auto"/>
              <w:jc w:val="left"/>
              <w:rPr>
                <w:rFonts w:cs="Arial"/>
                <w:sz w:val="18"/>
                <w:szCs w:val="18"/>
                <w:lang w:val="en-GB"/>
              </w:rPr>
            </w:pPr>
            <w:r w:rsidRPr="009B5B67">
              <w:rPr>
                <w:rFonts w:cs="Arial"/>
                <w:sz w:val="18"/>
                <w:szCs w:val="18"/>
                <w:lang w:val="en-GB"/>
              </w:rPr>
              <w:t>13 recorded events over 5 years, from January to May</w:t>
            </w:r>
          </w:p>
        </w:tc>
        <w:tc>
          <w:tcPr>
            <w:tcW w:w="1842" w:type="dxa"/>
          </w:tcPr>
          <w:p w14:paraId="08171296" w14:textId="77777777" w:rsidR="00503AE8" w:rsidRPr="009B5B67" w:rsidRDefault="00503AE8" w:rsidP="00A96906">
            <w:pPr>
              <w:spacing w:before="60" w:after="40" w:line="240" w:lineRule="auto"/>
              <w:ind w:right="176"/>
              <w:jc w:val="right"/>
              <w:rPr>
                <w:rFonts w:cs="Arial"/>
                <w:sz w:val="18"/>
                <w:szCs w:val="18"/>
                <w:lang w:val="en-GB"/>
              </w:rPr>
            </w:pPr>
            <w:r w:rsidRPr="009B5B67">
              <w:rPr>
                <w:rFonts w:cs="Arial"/>
                <w:sz w:val="18"/>
                <w:szCs w:val="18"/>
                <w:lang w:val="en-GB"/>
              </w:rPr>
              <w:t>881,245</w:t>
            </w:r>
          </w:p>
          <w:p w14:paraId="7830CBF8" w14:textId="77777777" w:rsidR="00503AE8" w:rsidRPr="009B5B67" w:rsidRDefault="00503AE8" w:rsidP="00A96906">
            <w:pPr>
              <w:spacing w:before="60" w:after="40" w:line="240" w:lineRule="auto"/>
              <w:ind w:right="176"/>
              <w:jc w:val="right"/>
              <w:rPr>
                <w:rFonts w:cs="Arial"/>
                <w:sz w:val="18"/>
                <w:szCs w:val="18"/>
                <w:lang w:val="en-GB"/>
              </w:rPr>
            </w:pPr>
          </w:p>
        </w:tc>
        <w:tc>
          <w:tcPr>
            <w:tcW w:w="2552" w:type="dxa"/>
          </w:tcPr>
          <w:p w14:paraId="030DF43D" w14:textId="77777777" w:rsidR="00503AE8" w:rsidRPr="009B5B67" w:rsidRDefault="00503AE8" w:rsidP="00A96906">
            <w:pPr>
              <w:spacing w:before="60" w:after="40" w:line="240" w:lineRule="auto"/>
              <w:jc w:val="left"/>
              <w:rPr>
                <w:rFonts w:cs="Arial"/>
                <w:sz w:val="18"/>
                <w:szCs w:val="18"/>
                <w:lang w:val="en-GB"/>
              </w:rPr>
            </w:pPr>
            <w:proofErr w:type="spellStart"/>
            <w:r w:rsidRPr="009B5B67">
              <w:rPr>
                <w:rFonts w:cs="Arial"/>
                <w:sz w:val="18"/>
                <w:szCs w:val="18"/>
                <w:lang w:val="en-GB"/>
              </w:rPr>
              <w:t>DesInventar</w:t>
            </w:r>
            <w:proofErr w:type="spellEnd"/>
          </w:p>
        </w:tc>
      </w:tr>
      <w:tr w:rsidR="00503AE8" w:rsidRPr="009B5B67" w14:paraId="68DC5404" w14:textId="77777777" w:rsidTr="00A96906">
        <w:tc>
          <w:tcPr>
            <w:tcW w:w="1980" w:type="dxa"/>
          </w:tcPr>
          <w:p w14:paraId="70DD1974" w14:textId="77777777" w:rsidR="00503AE8" w:rsidRPr="009B5B67" w:rsidRDefault="00503AE8" w:rsidP="00A96906">
            <w:pPr>
              <w:spacing w:before="60" w:after="40" w:line="240" w:lineRule="auto"/>
              <w:rPr>
                <w:rFonts w:cs="Arial"/>
                <w:b/>
                <w:sz w:val="18"/>
                <w:szCs w:val="18"/>
                <w:lang w:val="en-GB"/>
              </w:rPr>
            </w:pPr>
            <w:r w:rsidRPr="009B5B67">
              <w:rPr>
                <w:rFonts w:cs="Arial"/>
                <w:b/>
                <w:sz w:val="18"/>
                <w:szCs w:val="18"/>
                <w:lang w:val="en-GB"/>
              </w:rPr>
              <w:t>TOTAL</w:t>
            </w:r>
          </w:p>
        </w:tc>
        <w:tc>
          <w:tcPr>
            <w:tcW w:w="1134" w:type="dxa"/>
          </w:tcPr>
          <w:p w14:paraId="6D266894" w14:textId="77777777" w:rsidR="00503AE8" w:rsidRPr="009B5B67" w:rsidRDefault="00503AE8" w:rsidP="00A96906">
            <w:pPr>
              <w:spacing w:before="60" w:after="40" w:line="240" w:lineRule="auto"/>
              <w:jc w:val="center"/>
              <w:rPr>
                <w:rFonts w:cs="Arial"/>
                <w:b/>
                <w:sz w:val="18"/>
                <w:szCs w:val="18"/>
                <w:lang w:val="en-GB"/>
              </w:rPr>
            </w:pPr>
          </w:p>
        </w:tc>
        <w:tc>
          <w:tcPr>
            <w:tcW w:w="2410" w:type="dxa"/>
          </w:tcPr>
          <w:p w14:paraId="7586F644" w14:textId="77777777" w:rsidR="00503AE8" w:rsidRPr="009B5B67" w:rsidRDefault="00503AE8" w:rsidP="00A96906">
            <w:pPr>
              <w:spacing w:before="60" w:after="40" w:line="240" w:lineRule="auto"/>
              <w:jc w:val="left"/>
              <w:rPr>
                <w:rFonts w:cs="Arial"/>
                <w:b/>
                <w:sz w:val="18"/>
                <w:szCs w:val="18"/>
                <w:lang w:val="en-GB"/>
              </w:rPr>
            </w:pPr>
          </w:p>
        </w:tc>
        <w:tc>
          <w:tcPr>
            <w:tcW w:w="1842" w:type="dxa"/>
          </w:tcPr>
          <w:p w14:paraId="55A27C52" w14:textId="77777777" w:rsidR="00503AE8" w:rsidRPr="009B5B67" w:rsidRDefault="00503AE8" w:rsidP="00A96906">
            <w:pPr>
              <w:spacing w:before="60" w:after="40" w:line="240" w:lineRule="auto"/>
              <w:ind w:right="176"/>
              <w:jc w:val="right"/>
              <w:rPr>
                <w:rFonts w:cs="Arial"/>
                <w:b/>
                <w:sz w:val="18"/>
                <w:szCs w:val="18"/>
                <w:lang w:val="en-GB"/>
              </w:rPr>
            </w:pPr>
            <w:r w:rsidRPr="009B5B67">
              <w:rPr>
                <w:rFonts w:cs="Arial"/>
                <w:b/>
                <w:sz w:val="18"/>
                <w:szCs w:val="18"/>
                <w:lang w:val="en-GB"/>
              </w:rPr>
              <w:t>1,800,776,968</w:t>
            </w:r>
          </w:p>
        </w:tc>
        <w:tc>
          <w:tcPr>
            <w:tcW w:w="2552" w:type="dxa"/>
          </w:tcPr>
          <w:p w14:paraId="55884C1A" w14:textId="77777777" w:rsidR="00503AE8" w:rsidRPr="009B5B67" w:rsidRDefault="00503AE8" w:rsidP="00A96906">
            <w:pPr>
              <w:spacing w:before="60" w:after="40" w:line="240" w:lineRule="auto"/>
              <w:rPr>
                <w:rFonts w:cs="Arial"/>
                <w:b/>
                <w:sz w:val="18"/>
                <w:szCs w:val="18"/>
                <w:lang w:val="en-GB"/>
              </w:rPr>
            </w:pPr>
          </w:p>
        </w:tc>
      </w:tr>
    </w:tbl>
    <w:p w14:paraId="678FFDBC" w14:textId="77777777" w:rsidR="00503AE8" w:rsidRPr="009B5B67" w:rsidRDefault="00503AE8" w:rsidP="00503AE8">
      <w:pPr>
        <w:rPr>
          <w:lang w:val="en-GB"/>
        </w:rPr>
      </w:pPr>
    </w:p>
    <w:p w14:paraId="22E13057" w14:textId="1FD6F94A" w:rsidR="00503AE8" w:rsidRPr="009B5B67" w:rsidRDefault="00503AE8" w:rsidP="0088790F">
      <w:pPr>
        <w:rPr>
          <w:lang w:val="en-GB"/>
        </w:rPr>
      </w:pPr>
      <w:r w:rsidRPr="009B5B67">
        <w:rPr>
          <w:rFonts w:cstheme="minorHAnsi"/>
          <w:lang w:val="en-GB"/>
        </w:rPr>
        <w:t xml:space="preserve">The </w:t>
      </w:r>
      <w:r w:rsidRPr="009B5B67">
        <w:rPr>
          <w:rFonts w:cstheme="minorHAnsi"/>
          <w:b/>
          <w:lang w:val="en-GB"/>
        </w:rPr>
        <w:t>Study on the</w:t>
      </w:r>
      <w:r w:rsidRPr="009B5B67">
        <w:rPr>
          <w:rFonts w:cstheme="minorHAnsi"/>
          <w:lang w:val="en-GB"/>
        </w:rPr>
        <w:t xml:space="preserve"> </w:t>
      </w:r>
      <w:r w:rsidRPr="009B5B67">
        <w:rPr>
          <w:rFonts w:cstheme="minorHAnsi"/>
          <w:b/>
          <w:lang w:val="en-GB"/>
        </w:rPr>
        <w:t>Socio-economic Aspects of Climate Change in the Republic of Serbia</w:t>
      </w:r>
      <w:r w:rsidRPr="009B5B67">
        <w:rPr>
          <w:rFonts w:cstheme="minorHAnsi"/>
          <w:lang w:val="en-GB"/>
        </w:rPr>
        <w:t xml:space="preserve"> (2020)</w:t>
      </w:r>
      <w:r w:rsidRPr="009B5B67">
        <w:rPr>
          <w:rStyle w:val="FootnoteReference"/>
          <w:rFonts w:cstheme="minorHAnsi"/>
          <w:lang w:val="en-GB"/>
        </w:rPr>
        <w:footnoteReference w:id="37"/>
      </w:r>
      <w:r w:rsidRPr="009B5B67">
        <w:rPr>
          <w:rFonts w:cstheme="minorHAnsi"/>
          <w:lang w:val="en-GB"/>
        </w:rPr>
        <w:t xml:space="preserve"> estimated is potential change of the country’s GDP if the global mean annual temperature increases by 1°C, 2°C, 3°C, or 4°C by the end of the century. </w:t>
      </w:r>
    </w:p>
    <w:p w14:paraId="34084728" w14:textId="77777777" w:rsidR="00503AE8" w:rsidRPr="009B5B67" w:rsidRDefault="00503AE8" w:rsidP="00FD3D9F">
      <w:pPr>
        <w:pStyle w:val="Heading3"/>
        <w:keepNext w:val="0"/>
        <w:keepLines w:val="0"/>
        <w:widowControl w:val="0"/>
        <w:numPr>
          <w:ilvl w:val="2"/>
          <w:numId w:val="17"/>
        </w:numPr>
        <w:autoSpaceDE w:val="0"/>
        <w:autoSpaceDN w:val="0"/>
        <w:spacing w:before="127"/>
        <w:jc w:val="left"/>
        <w:rPr>
          <w:lang w:val="en-GB"/>
        </w:rPr>
      </w:pPr>
      <w:bookmarkStart w:id="85" w:name="_Toc56411210"/>
      <w:bookmarkStart w:id="86" w:name="_Toc56439389"/>
      <w:r w:rsidRPr="009B5B67">
        <w:rPr>
          <w:lang w:val="en-GB"/>
        </w:rPr>
        <w:t>LAND DEGRADATION</w:t>
      </w:r>
      <w:bookmarkEnd w:id="85"/>
      <w:bookmarkEnd w:id="86"/>
    </w:p>
    <w:p w14:paraId="3C9EA34C" w14:textId="77777777" w:rsidR="00503AE8" w:rsidRPr="009B5B67" w:rsidRDefault="00503AE8" w:rsidP="00503AE8">
      <w:pPr>
        <w:spacing w:line="276" w:lineRule="auto"/>
        <w:rPr>
          <w:rFonts w:cstheme="minorHAnsi"/>
          <w:lang w:val="en-GB"/>
        </w:rPr>
      </w:pPr>
      <w:r w:rsidRPr="009B5B67">
        <w:rPr>
          <w:rFonts w:cstheme="minorHAnsi"/>
          <w:lang w:val="en-GB"/>
        </w:rPr>
        <w:t xml:space="preserve">Preserving and improving the quality of land is an important component of sustainable development, while at the same time it contributes to adaptation and mitigating the climate change impacts. The United Nations Convention to Combat Desertification (UNCCD) has adopted, as one of its goals for sustainable development, to combat against desertification, to restore degraded land and to achieve a land degradation neutrality (LDN) in the world by 2030 (Goal 15.3). </w:t>
      </w:r>
    </w:p>
    <w:p w14:paraId="2CEB6550" w14:textId="77777777" w:rsidR="00503AE8" w:rsidRPr="009B5B67" w:rsidRDefault="00503AE8" w:rsidP="00503AE8">
      <w:pPr>
        <w:spacing w:line="276" w:lineRule="auto"/>
        <w:rPr>
          <w:rFonts w:cstheme="minorHAnsi"/>
          <w:lang w:val="en-GB"/>
        </w:rPr>
      </w:pPr>
      <w:proofErr w:type="gramStart"/>
      <w:r w:rsidRPr="009B5B67">
        <w:rPr>
          <w:rFonts w:cstheme="minorHAnsi"/>
          <w:lang w:val="en-GB"/>
        </w:rPr>
        <w:lastRenderedPageBreak/>
        <w:t>In order to</w:t>
      </w:r>
      <w:proofErr w:type="gramEnd"/>
      <w:r w:rsidRPr="009B5B67">
        <w:rPr>
          <w:rFonts w:cstheme="minorHAnsi"/>
          <w:lang w:val="en-GB"/>
        </w:rPr>
        <w:t xml:space="preserve"> determine the initial degree of degraded land, assess land degradation trends, define measures that need to be taken to achieve LDN, as well as to monitor the effect of these measures, three indicators were set by the UNCCD: land cover, land productivity and carbon stocks. </w:t>
      </w:r>
    </w:p>
    <w:p w14:paraId="5D9A8B92" w14:textId="77777777" w:rsidR="00503AE8" w:rsidRPr="009B5B67" w:rsidRDefault="00503AE8" w:rsidP="00503AE8">
      <w:pPr>
        <w:spacing w:line="276" w:lineRule="auto"/>
        <w:rPr>
          <w:rFonts w:cstheme="minorHAnsi"/>
          <w:lang w:val="en-GB"/>
        </w:rPr>
      </w:pPr>
      <w:r w:rsidRPr="009B5B67">
        <w:rPr>
          <w:rFonts w:cstheme="minorHAnsi"/>
          <w:lang w:val="en-GB"/>
        </w:rPr>
        <w:t xml:space="preserve">According to the </w:t>
      </w:r>
      <w:r w:rsidRPr="009B5B67">
        <w:rPr>
          <w:rFonts w:cstheme="minorHAnsi"/>
          <w:b/>
          <w:lang w:val="en-GB"/>
        </w:rPr>
        <w:t>Report on the applied methodology and identification of objectives for establishing neutrality of land degradation in the Republic of Serbia</w:t>
      </w:r>
      <w:r w:rsidRPr="009B5B67">
        <w:rPr>
          <w:rStyle w:val="FootnoteReference"/>
          <w:rFonts w:cstheme="minorHAnsi"/>
          <w:lang w:val="en-GB"/>
        </w:rPr>
        <w:footnoteReference w:id="38"/>
      </w:r>
      <w:r w:rsidRPr="009B5B67">
        <w:rPr>
          <w:rFonts w:cstheme="minorHAnsi"/>
          <w:lang w:val="en-GB"/>
        </w:rPr>
        <w:t xml:space="preserve"> (2019) in the Republic of Serbia degraded land accounts for 6.47% of the total territory of the country (5,725.2 km</w:t>
      </w:r>
      <w:r w:rsidRPr="009B5B67">
        <w:rPr>
          <w:rFonts w:cstheme="minorHAnsi"/>
          <w:vertAlign w:val="superscript"/>
          <w:lang w:val="en-GB"/>
        </w:rPr>
        <w:t>2</w:t>
      </w:r>
      <w:r w:rsidRPr="009B5B67">
        <w:rPr>
          <w:rFonts w:cstheme="minorHAnsi"/>
          <w:lang w:val="en-GB"/>
        </w:rPr>
        <w:t>), 20.54% of the total territory (18,755.5 km</w:t>
      </w:r>
      <w:r w:rsidRPr="009B5B67">
        <w:rPr>
          <w:rFonts w:cstheme="minorHAnsi"/>
          <w:vertAlign w:val="superscript"/>
          <w:lang w:val="en-GB"/>
        </w:rPr>
        <w:t>2</w:t>
      </w:r>
      <w:r w:rsidRPr="009B5B67">
        <w:rPr>
          <w:rFonts w:cstheme="minorHAnsi"/>
          <w:lang w:val="en-GB"/>
        </w:rPr>
        <w:t xml:space="preserve">) is in the category of stable condition, while 72.86% is in the category of improved condition (64,472.7 km2). Based on the analysis of the recommended indicators, </w:t>
      </w:r>
      <w:proofErr w:type="gramStart"/>
      <w:r w:rsidRPr="009B5B67">
        <w:rPr>
          <w:rFonts w:cstheme="minorHAnsi"/>
          <w:lang w:val="en-GB"/>
        </w:rPr>
        <w:t>a number of</w:t>
      </w:r>
      <w:proofErr w:type="gramEnd"/>
      <w:r w:rsidRPr="009B5B67">
        <w:rPr>
          <w:rFonts w:cstheme="minorHAnsi"/>
          <w:lang w:val="en-GB"/>
        </w:rPr>
        <w:t xml:space="preserve"> measures have been defined, in order to achieve land degradation neutrality in the Republic of Serbia by 2030. The following measures are defined as priorities in this process:</w:t>
      </w:r>
    </w:p>
    <w:p w14:paraId="0CE95442" w14:textId="77777777" w:rsidR="00503AE8" w:rsidRPr="009B5B67" w:rsidRDefault="00503AE8" w:rsidP="00FD3D9F">
      <w:pPr>
        <w:pStyle w:val="ListParagraph"/>
        <w:numPr>
          <w:ilvl w:val="0"/>
          <w:numId w:val="13"/>
        </w:numPr>
        <w:spacing w:after="200" w:line="276" w:lineRule="auto"/>
        <w:rPr>
          <w:rFonts w:cstheme="minorHAnsi"/>
          <w:lang w:val="en-GB"/>
        </w:rPr>
      </w:pPr>
      <w:r w:rsidRPr="009B5B67">
        <w:rPr>
          <w:rFonts w:cstheme="minorHAnsi"/>
          <w:lang w:val="en-GB"/>
        </w:rPr>
        <w:t xml:space="preserve">Introducing measures addressed to achieve LDN in strategic, </w:t>
      </w:r>
      <w:proofErr w:type="gramStart"/>
      <w:r w:rsidRPr="009B5B67">
        <w:rPr>
          <w:rFonts w:cstheme="minorHAnsi"/>
          <w:lang w:val="en-GB"/>
        </w:rPr>
        <w:t>legal</w:t>
      </w:r>
      <w:proofErr w:type="gramEnd"/>
      <w:r w:rsidRPr="009B5B67">
        <w:rPr>
          <w:rFonts w:cstheme="minorHAnsi"/>
          <w:lang w:val="en-GB"/>
        </w:rPr>
        <w:t xml:space="preserve"> and planning document.</w:t>
      </w:r>
    </w:p>
    <w:p w14:paraId="6E5210E3" w14:textId="77777777" w:rsidR="00503AE8" w:rsidRPr="009B5B67" w:rsidRDefault="00503AE8" w:rsidP="00FD3D9F">
      <w:pPr>
        <w:pStyle w:val="ListParagraph"/>
        <w:numPr>
          <w:ilvl w:val="0"/>
          <w:numId w:val="13"/>
        </w:numPr>
        <w:spacing w:after="200" w:line="276" w:lineRule="auto"/>
        <w:rPr>
          <w:rFonts w:cstheme="minorHAnsi"/>
          <w:lang w:val="en-GB"/>
        </w:rPr>
      </w:pPr>
      <w:r w:rsidRPr="009B5B67">
        <w:rPr>
          <w:rFonts w:cstheme="minorHAnsi"/>
          <w:lang w:val="en-GB"/>
        </w:rPr>
        <w:t xml:space="preserve">Improvement, </w:t>
      </w:r>
      <w:proofErr w:type="gramStart"/>
      <w:r w:rsidRPr="009B5B67">
        <w:rPr>
          <w:rFonts w:cstheme="minorHAnsi"/>
          <w:lang w:val="en-GB"/>
        </w:rPr>
        <w:t>restoration</w:t>
      </w:r>
      <w:proofErr w:type="gramEnd"/>
      <w:r w:rsidRPr="009B5B67">
        <w:rPr>
          <w:rFonts w:cstheme="minorHAnsi"/>
          <w:lang w:val="en-GB"/>
        </w:rPr>
        <w:t xml:space="preserve"> and remediation of degraded areas by applying the principles of sustainable land management.</w:t>
      </w:r>
    </w:p>
    <w:p w14:paraId="5D5EB50C" w14:textId="77777777" w:rsidR="00503AE8" w:rsidRPr="009B5B67" w:rsidRDefault="00503AE8" w:rsidP="00FD3D9F">
      <w:pPr>
        <w:pStyle w:val="ListParagraph"/>
        <w:numPr>
          <w:ilvl w:val="0"/>
          <w:numId w:val="13"/>
        </w:numPr>
        <w:spacing w:after="200" w:line="276" w:lineRule="auto"/>
        <w:rPr>
          <w:rFonts w:cstheme="minorHAnsi"/>
          <w:lang w:val="en-GB"/>
        </w:rPr>
      </w:pPr>
      <w:r w:rsidRPr="009B5B67">
        <w:rPr>
          <w:rFonts w:cstheme="minorHAnsi"/>
          <w:lang w:val="en-GB"/>
        </w:rPr>
        <w:t>Establishment and development of land monitoring in accordance with national environmental protection indicators (land use change, land productivity, land erosion).</w:t>
      </w:r>
    </w:p>
    <w:p w14:paraId="15546C72" w14:textId="77777777" w:rsidR="00503AE8" w:rsidRPr="009B5B67" w:rsidRDefault="00503AE8" w:rsidP="00FD3D9F">
      <w:pPr>
        <w:pStyle w:val="ListParagraph"/>
        <w:numPr>
          <w:ilvl w:val="0"/>
          <w:numId w:val="13"/>
        </w:numPr>
        <w:spacing w:after="200" w:line="276" w:lineRule="auto"/>
        <w:rPr>
          <w:rFonts w:cstheme="minorHAnsi"/>
          <w:lang w:val="en-GB"/>
        </w:rPr>
      </w:pPr>
      <w:r w:rsidRPr="009B5B67">
        <w:rPr>
          <w:rFonts w:cstheme="minorHAnsi"/>
          <w:lang w:val="en-GB"/>
        </w:rPr>
        <w:t>Establishment of detailed databases for the territory of the Republic of Serbia for the application of LDN methodology.</w:t>
      </w:r>
    </w:p>
    <w:p w14:paraId="62D11825" w14:textId="77777777" w:rsidR="00503AE8" w:rsidRPr="009B5B67" w:rsidRDefault="00503AE8" w:rsidP="00FD3D9F">
      <w:pPr>
        <w:pStyle w:val="ListParagraph"/>
        <w:numPr>
          <w:ilvl w:val="0"/>
          <w:numId w:val="13"/>
        </w:numPr>
        <w:spacing w:after="200" w:line="276" w:lineRule="auto"/>
        <w:rPr>
          <w:rFonts w:cstheme="minorHAnsi"/>
          <w:lang w:val="en-GB"/>
        </w:rPr>
      </w:pPr>
      <w:r w:rsidRPr="009B5B67">
        <w:rPr>
          <w:rFonts w:cstheme="minorHAnsi"/>
          <w:lang w:val="en-GB"/>
        </w:rPr>
        <w:t>Raising public awareness and the role of education in combating land degradation and drought.</w:t>
      </w:r>
    </w:p>
    <w:p w14:paraId="0B5A05CB" w14:textId="77777777" w:rsidR="00503AE8" w:rsidRPr="009B5B67" w:rsidRDefault="00503AE8" w:rsidP="00FD3D9F">
      <w:pPr>
        <w:pStyle w:val="Heading2"/>
        <w:widowControl w:val="0"/>
        <w:numPr>
          <w:ilvl w:val="1"/>
          <w:numId w:val="17"/>
        </w:numPr>
        <w:autoSpaceDE w:val="0"/>
        <w:autoSpaceDN w:val="0"/>
        <w:ind w:left="578" w:hanging="578"/>
        <w:jc w:val="left"/>
        <w:rPr>
          <w:b/>
          <w:lang w:val="en-GB"/>
        </w:rPr>
      </w:pPr>
      <w:bookmarkStart w:id="87" w:name="_Toc56411211"/>
      <w:bookmarkStart w:id="88" w:name="_Toc56439390"/>
      <w:r w:rsidRPr="009B5B67">
        <w:rPr>
          <w:b/>
          <w:lang w:val="en-GB"/>
        </w:rPr>
        <w:t>IMPLEMENTATION OF ADAPTATION MEASURES</w:t>
      </w:r>
      <w:bookmarkEnd w:id="87"/>
      <w:bookmarkEnd w:id="88"/>
    </w:p>
    <w:p w14:paraId="179CF82B" w14:textId="55B0202E" w:rsidR="00503AE8" w:rsidRPr="009B5B67" w:rsidRDefault="00503AE8" w:rsidP="00503AE8">
      <w:pPr>
        <w:spacing w:line="276" w:lineRule="auto"/>
        <w:rPr>
          <w:rFonts w:cstheme="minorHAnsi"/>
          <w:lang w:val="en-GB"/>
        </w:rPr>
      </w:pPr>
      <w:r w:rsidRPr="009B5B67">
        <w:rPr>
          <w:rFonts w:cstheme="minorHAnsi"/>
          <w:lang w:val="en-GB"/>
        </w:rPr>
        <w:t xml:space="preserve">The establishment of the </w:t>
      </w:r>
      <w:r w:rsidRPr="009B5B67">
        <w:rPr>
          <w:rFonts w:cstheme="minorHAnsi"/>
          <w:color w:val="000000" w:themeColor="text1"/>
          <w:lang w:val="en-GB"/>
        </w:rPr>
        <w:t xml:space="preserve">national strategic and legislative framework in the field of climate change in the Republic of Serbia is underway. While the </w:t>
      </w:r>
      <w:r w:rsidR="00CB0963" w:rsidRPr="009B5B67">
        <w:rPr>
          <w:rFonts w:cstheme="minorHAnsi"/>
          <w:color w:val="000000" w:themeColor="text1"/>
          <w:szCs w:val="20"/>
          <w:lang w:val="en-GB"/>
        </w:rPr>
        <w:t>Draft</w:t>
      </w:r>
      <w:r w:rsidRPr="009B5B67">
        <w:rPr>
          <w:rFonts w:cstheme="minorHAnsi"/>
          <w:color w:val="000000" w:themeColor="text1"/>
          <w:lang w:val="en-GB"/>
        </w:rPr>
        <w:t xml:space="preserve"> Law on Climate Change and the </w:t>
      </w:r>
      <w:r w:rsidR="00CB0963" w:rsidRPr="009B5B67">
        <w:rPr>
          <w:rFonts w:cstheme="minorHAnsi"/>
          <w:color w:val="000000" w:themeColor="text1"/>
          <w:szCs w:val="20"/>
          <w:lang w:val="en-GB"/>
        </w:rPr>
        <w:t>Draft</w:t>
      </w:r>
      <w:r w:rsidRPr="009B5B67">
        <w:rPr>
          <w:rFonts w:cstheme="minorHAnsi"/>
          <w:color w:val="000000" w:themeColor="text1"/>
          <w:lang w:val="en-GB"/>
        </w:rPr>
        <w:t xml:space="preserve"> Low</w:t>
      </w:r>
      <w:r w:rsidR="00CB0963" w:rsidRPr="009B5B67">
        <w:rPr>
          <w:rFonts w:cstheme="minorHAnsi"/>
          <w:color w:val="000000" w:themeColor="text1"/>
          <w:lang w:val="en-GB"/>
        </w:rPr>
        <w:t xml:space="preserve"> </w:t>
      </w:r>
      <w:r w:rsidRPr="009B5B67">
        <w:rPr>
          <w:rFonts w:cstheme="minorHAnsi"/>
          <w:color w:val="000000" w:themeColor="text1"/>
          <w:lang w:val="en-GB"/>
        </w:rPr>
        <w:t>Carbon D</w:t>
      </w:r>
      <w:r w:rsidRPr="009B5B67">
        <w:rPr>
          <w:rFonts w:cstheme="minorHAnsi"/>
          <w:lang w:val="en-GB"/>
        </w:rPr>
        <w:t xml:space="preserve">evelopment Strategy </w:t>
      </w:r>
      <w:r w:rsidR="00CB0963" w:rsidRPr="009B5B67">
        <w:rPr>
          <w:rFonts w:cstheme="minorHAnsi"/>
          <w:lang w:val="en-GB"/>
        </w:rPr>
        <w:t xml:space="preserve">with Action plan </w:t>
      </w:r>
      <w:r w:rsidRPr="009B5B67">
        <w:rPr>
          <w:rFonts w:cstheme="minorHAnsi"/>
          <w:lang w:val="en-GB"/>
        </w:rPr>
        <w:t xml:space="preserve">pending for the adoption, the next important step concerning the climate change adaptation is the development and adoption of the </w:t>
      </w:r>
      <w:r w:rsidR="0093692B" w:rsidRPr="009B5B67">
        <w:rPr>
          <w:rFonts w:cstheme="minorHAnsi"/>
          <w:lang w:val="en-GB"/>
        </w:rPr>
        <w:t>NAP</w:t>
      </w:r>
      <w:r w:rsidRPr="009B5B67">
        <w:rPr>
          <w:rFonts w:cstheme="minorHAnsi"/>
          <w:lang w:val="en-GB"/>
        </w:rPr>
        <w:t xml:space="preserve"> </w:t>
      </w:r>
    </w:p>
    <w:p w14:paraId="7BE93EAB" w14:textId="77777777" w:rsidR="00503AE8" w:rsidRPr="009B5B67" w:rsidRDefault="00503AE8" w:rsidP="00503AE8">
      <w:pPr>
        <w:spacing w:line="276" w:lineRule="auto"/>
        <w:rPr>
          <w:rFonts w:cstheme="minorHAnsi"/>
          <w:lang w:val="en-GB"/>
        </w:rPr>
      </w:pPr>
      <w:r w:rsidRPr="009B5B67">
        <w:rPr>
          <w:rFonts w:cstheme="minorHAnsi"/>
          <w:lang w:val="en-GB"/>
        </w:rPr>
        <w:t xml:space="preserve">The needs for the assessment across the sectors are not uniform. In sectors that directly depend on weather conditions, such as agriculture, forestry and water management, the impacts of climate change in Serbia are known, clearly visible and sufficiently scientifically researched. In the adopted strategies of these sectors, some of the proposed measures also refer to climate change adaptation, although it is often not explicitly indicated. </w:t>
      </w:r>
    </w:p>
    <w:p w14:paraId="3E16170A" w14:textId="77777777" w:rsidR="00503AE8" w:rsidRPr="009B5B67" w:rsidRDefault="00503AE8" w:rsidP="00503AE8">
      <w:pPr>
        <w:spacing w:line="276" w:lineRule="auto"/>
        <w:rPr>
          <w:rFonts w:cstheme="minorHAnsi"/>
          <w:lang w:val="en-GB"/>
        </w:rPr>
      </w:pPr>
      <w:r w:rsidRPr="009B5B67">
        <w:rPr>
          <w:rFonts w:cstheme="minorHAnsi"/>
          <w:lang w:val="en-GB"/>
        </w:rPr>
        <w:t xml:space="preserve">On the other hand, in sectors such as biodiversity, public health, infrastructure and transport, the impact of climate change has been noticed, but not significantly and systematically researched, and in indicators and systems for monitoring the impact and consequences of climate change are generally not developed. </w:t>
      </w:r>
    </w:p>
    <w:p w14:paraId="46576938" w14:textId="4C29594F" w:rsidR="00503AE8" w:rsidRPr="009B5B67" w:rsidRDefault="00503AE8" w:rsidP="00503AE8">
      <w:pPr>
        <w:spacing w:line="276" w:lineRule="auto"/>
        <w:rPr>
          <w:rFonts w:cstheme="minorHAnsi"/>
          <w:lang w:val="en-GB"/>
        </w:rPr>
      </w:pPr>
      <w:r w:rsidRPr="009B5B67">
        <w:rPr>
          <w:rFonts w:cstheme="minorHAnsi"/>
          <w:lang w:val="en-GB"/>
        </w:rPr>
        <w:t xml:space="preserve">The implementation of the adaptation measures presented in this document should be followed within sectors by monitoring the </w:t>
      </w:r>
      <w:r w:rsidR="00075D19" w:rsidRPr="009B5B67">
        <w:rPr>
          <w:rFonts w:cstheme="minorHAnsi"/>
          <w:lang w:val="en-GB"/>
        </w:rPr>
        <w:t>fulfilment</w:t>
      </w:r>
      <w:r w:rsidRPr="009B5B67">
        <w:rPr>
          <w:rFonts w:cstheme="minorHAnsi"/>
          <w:lang w:val="en-GB"/>
        </w:rPr>
        <w:t xml:space="preserve"> of the objectives of the relevant strategic and planning documents.  </w:t>
      </w:r>
    </w:p>
    <w:p w14:paraId="6D1CBE14" w14:textId="77777777" w:rsidR="00503AE8" w:rsidRPr="009B5B67" w:rsidRDefault="00503AE8" w:rsidP="00503AE8">
      <w:pPr>
        <w:rPr>
          <w:lang w:val="en-GB" w:eastAsia="sr-Latn-RS"/>
        </w:rPr>
      </w:pPr>
    </w:p>
    <w:p w14:paraId="02B4FA28" w14:textId="77777777" w:rsidR="00AD3320" w:rsidRPr="009B5B67" w:rsidRDefault="00AD3320" w:rsidP="00AD3320">
      <w:pPr>
        <w:rPr>
          <w:strike/>
          <w:szCs w:val="18"/>
          <w:lang w:val="en-GB"/>
        </w:rPr>
      </w:pPr>
    </w:p>
    <w:p w14:paraId="73ED91CA" w14:textId="77777777" w:rsidR="00AD3320" w:rsidRPr="009B5B67" w:rsidRDefault="00AD3320" w:rsidP="00AD3320">
      <w:pPr>
        <w:rPr>
          <w:lang w:val="en-GB"/>
        </w:rPr>
      </w:pPr>
    </w:p>
    <w:p w14:paraId="7BFEFA9A" w14:textId="77777777" w:rsidR="00C21615" w:rsidRPr="009B5B67" w:rsidRDefault="00C21615">
      <w:pPr>
        <w:spacing w:after="0" w:line="240" w:lineRule="auto"/>
        <w:jc w:val="left"/>
        <w:rPr>
          <w:rFonts w:eastAsiaTheme="majorEastAsia" w:cstheme="majorBidi"/>
          <w:b/>
          <w:color w:val="2F5496" w:themeColor="accent1" w:themeShade="BF"/>
          <w:sz w:val="32"/>
          <w:szCs w:val="32"/>
          <w:lang w:val="en-GB"/>
        </w:rPr>
      </w:pPr>
      <w:r w:rsidRPr="009B5B67">
        <w:rPr>
          <w:lang w:val="en-GB"/>
        </w:rPr>
        <w:br w:type="page"/>
      </w:r>
    </w:p>
    <w:p w14:paraId="7FE0DF67" w14:textId="77777777" w:rsidR="00AD3320" w:rsidRPr="009B5B67" w:rsidRDefault="00A44E1C" w:rsidP="00A44E1C">
      <w:pPr>
        <w:pStyle w:val="Heading1"/>
        <w:keepNext w:val="0"/>
        <w:keepLines w:val="0"/>
        <w:widowControl w:val="0"/>
        <w:numPr>
          <w:ilvl w:val="0"/>
          <w:numId w:val="0"/>
        </w:numPr>
        <w:autoSpaceDE w:val="0"/>
        <w:autoSpaceDN w:val="0"/>
        <w:spacing w:before="0" w:after="0"/>
        <w:ind w:left="432" w:hanging="432"/>
        <w:jc w:val="left"/>
        <w:rPr>
          <w:lang w:val="en-GB" w:eastAsia="sr-Latn-RS"/>
        </w:rPr>
      </w:pPr>
      <w:bookmarkStart w:id="89" w:name="_Toc56439391"/>
      <w:r w:rsidRPr="009B5B67">
        <w:rPr>
          <w:lang w:val="en-GB" w:eastAsia="sr-Latn-RS"/>
        </w:rPr>
        <w:lastRenderedPageBreak/>
        <w:t xml:space="preserve">Annex 3 - </w:t>
      </w:r>
      <w:r w:rsidR="00AD3320" w:rsidRPr="009B5B67">
        <w:rPr>
          <w:lang w:val="en-GB"/>
        </w:rPr>
        <w:t>Mitigation and adaptation measures</w:t>
      </w:r>
      <w:bookmarkEnd w:id="89"/>
    </w:p>
    <w:p w14:paraId="70E75D30" w14:textId="77777777" w:rsidR="00AD3320" w:rsidRPr="009B5B67" w:rsidRDefault="00AD3320" w:rsidP="008245F4">
      <w:pPr>
        <w:pStyle w:val="Heading2"/>
        <w:widowControl w:val="0"/>
        <w:numPr>
          <w:ilvl w:val="1"/>
          <w:numId w:val="43"/>
        </w:numPr>
        <w:autoSpaceDE w:val="0"/>
        <w:autoSpaceDN w:val="0"/>
        <w:jc w:val="left"/>
        <w:rPr>
          <w:b/>
          <w:lang w:val="en-GB"/>
        </w:rPr>
      </w:pPr>
      <w:bookmarkStart w:id="90" w:name="_Toc56439392"/>
      <w:r w:rsidRPr="009B5B67">
        <w:rPr>
          <w:b/>
          <w:lang w:val="en-GB"/>
        </w:rPr>
        <w:t>NDC Implementation Plan</w:t>
      </w:r>
      <w:bookmarkEnd w:id="90"/>
    </w:p>
    <w:p w14:paraId="76EEF47E" w14:textId="722C65AA" w:rsidR="00AD3320" w:rsidRPr="009B5B67" w:rsidRDefault="00AD3320" w:rsidP="00AD3320">
      <w:pPr>
        <w:rPr>
          <w:rFonts w:cstheme="minorHAnsi"/>
          <w:szCs w:val="20"/>
          <w:lang w:val="en-GB" w:eastAsia="sr-Latn-RS"/>
        </w:rPr>
      </w:pPr>
      <w:r w:rsidRPr="009B5B67">
        <w:rPr>
          <w:lang w:val="en-GB" w:eastAsia="sr-Latn-RS"/>
        </w:rPr>
        <w:t>The NDC Implementation Plan provides information on specific projects, measures, and activities to be implemented. A detailed d</w:t>
      </w:r>
      <w:r w:rsidRPr="009B5B67">
        <w:rPr>
          <w:rFonts w:cstheme="minorHAnsi"/>
          <w:szCs w:val="20"/>
          <w:lang w:val="en-GB" w:eastAsia="sr-Latn-RS"/>
        </w:rPr>
        <w:t xml:space="preserve">escription of actions that will lead to achievement of the targets presented in the NDC is provided in the </w:t>
      </w:r>
      <w:r w:rsidRPr="009B5B67">
        <w:rPr>
          <w:lang w:val="en-GB" w:eastAsia="sr-Latn-RS"/>
        </w:rPr>
        <w:t>LCDS and 2BUR</w:t>
      </w:r>
      <w:r w:rsidR="00CB5427" w:rsidRPr="009B5B67">
        <w:rPr>
          <w:lang w:val="en-GB" w:eastAsia="sr-Latn-RS"/>
        </w:rPr>
        <w:t xml:space="preserve"> as well as in Third National communication, mostly when it comes to adaptation. </w:t>
      </w:r>
    </w:p>
    <w:p w14:paraId="482681EE" w14:textId="77777777" w:rsidR="00AD3320" w:rsidRPr="009B5B67" w:rsidRDefault="00AD3320" w:rsidP="00AD3320">
      <w:pPr>
        <w:pStyle w:val="NoSpacing"/>
        <w:rPr>
          <w:lang w:val="en-GB" w:eastAsia="sr-Latn-RS"/>
        </w:rPr>
      </w:pPr>
    </w:p>
    <w:p w14:paraId="60C5370F" w14:textId="77777777" w:rsidR="00AD3320" w:rsidRPr="009B5B67" w:rsidRDefault="00AD3320" w:rsidP="008245F4">
      <w:pPr>
        <w:pStyle w:val="Heading2"/>
        <w:widowControl w:val="0"/>
        <w:numPr>
          <w:ilvl w:val="1"/>
          <w:numId w:val="43"/>
        </w:numPr>
        <w:autoSpaceDE w:val="0"/>
        <w:autoSpaceDN w:val="0"/>
        <w:ind w:left="578" w:hanging="578"/>
        <w:jc w:val="left"/>
        <w:rPr>
          <w:b/>
          <w:lang w:val="en-GB"/>
        </w:rPr>
      </w:pPr>
      <w:bookmarkStart w:id="91" w:name="_Toc56439393"/>
      <w:r w:rsidRPr="009B5B67">
        <w:rPr>
          <w:b/>
          <w:lang w:val="en-GB"/>
        </w:rPr>
        <w:t>Mitigation related projects, measures and actions required for achievement of Serbian NDC</w:t>
      </w:r>
      <w:bookmarkEnd w:id="91"/>
    </w:p>
    <w:p w14:paraId="08DE1CE9" w14:textId="77777777" w:rsidR="00AD3320" w:rsidRPr="009B5B67" w:rsidRDefault="00AD3320" w:rsidP="00AD3320">
      <w:pPr>
        <w:rPr>
          <w:lang w:val="en-GB" w:eastAsia="sr-Latn-RS"/>
        </w:rPr>
      </w:pPr>
    </w:p>
    <w:p w14:paraId="4C07BDAF" w14:textId="77777777" w:rsidR="00AD3320" w:rsidRPr="009B5B67" w:rsidRDefault="00AD3320" w:rsidP="00AD3320">
      <w:pPr>
        <w:rPr>
          <w:b/>
          <w:i/>
          <w:lang w:val="en-GB" w:eastAsia="sr-Latn-RS"/>
        </w:rPr>
      </w:pPr>
      <w:r w:rsidRPr="009B5B67">
        <w:rPr>
          <w:b/>
          <w:i/>
          <w:lang w:val="en-GB" w:eastAsia="sr-Latn-RS"/>
        </w:rPr>
        <w:t>Explanation of the table content</w:t>
      </w:r>
    </w:p>
    <w:p w14:paraId="6004AE66" w14:textId="77777777" w:rsidR="00AD3320" w:rsidRPr="009B5B67" w:rsidRDefault="00AD3320" w:rsidP="00AD3320">
      <w:pPr>
        <w:tabs>
          <w:tab w:val="left" w:pos="2552"/>
        </w:tabs>
        <w:spacing w:after="0"/>
        <w:ind w:left="2552" w:hanging="2552"/>
        <w:rPr>
          <w:rFonts w:cs="Arial"/>
          <w:szCs w:val="20"/>
          <w:lang w:val="en-GB"/>
        </w:rPr>
      </w:pPr>
      <w:r w:rsidRPr="009B5B67">
        <w:rPr>
          <w:rFonts w:cs="Arial"/>
          <w:szCs w:val="20"/>
          <w:lang w:val="en-GB"/>
        </w:rPr>
        <w:t xml:space="preserve">Preparatory (start-off): </w:t>
      </w:r>
      <w:r w:rsidRPr="009B5B67">
        <w:rPr>
          <w:rFonts w:cs="Arial"/>
          <w:szCs w:val="20"/>
          <w:lang w:val="en-GB"/>
        </w:rPr>
        <w:tab/>
        <w:t>All relevant preparatory costs for institutional enforcement and administrative preparation and management of the measure</w:t>
      </w:r>
    </w:p>
    <w:p w14:paraId="2EA3785D" w14:textId="77777777" w:rsidR="00AD3320" w:rsidRPr="009B5B67" w:rsidRDefault="00AD3320" w:rsidP="00AD3320">
      <w:pPr>
        <w:tabs>
          <w:tab w:val="left" w:pos="2552"/>
        </w:tabs>
        <w:spacing w:after="0"/>
        <w:ind w:left="2552" w:hanging="2552"/>
        <w:rPr>
          <w:rFonts w:cs="Arial"/>
          <w:szCs w:val="20"/>
          <w:lang w:val="en-GB"/>
        </w:rPr>
      </w:pPr>
      <w:r w:rsidRPr="009B5B67">
        <w:rPr>
          <w:rFonts w:cs="Arial"/>
          <w:szCs w:val="20"/>
          <w:lang w:val="en-GB"/>
        </w:rPr>
        <w:t>Additional investment costs: Costs additional than those for the Business as Usual (</w:t>
      </w:r>
      <w:proofErr w:type="spellStart"/>
      <w:r w:rsidRPr="009B5B67">
        <w:rPr>
          <w:rFonts w:cs="Arial"/>
          <w:szCs w:val="20"/>
          <w:lang w:val="en-GB"/>
        </w:rPr>
        <w:t>BaU</w:t>
      </w:r>
      <w:proofErr w:type="spellEnd"/>
      <w:r w:rsidRPr="009B5B67">
        <w:rPr>
          <w:rFonts w:cs="Arial"/>
          <w:szCs w:val="20"/>
          <w:lang w:val="en-GB"/>
        </w:rPr>
        <w:t>)</w:t>
      </w:r>
    </w:p>
    <w:p w14:paraId="4B42CF5C" w14:textId="77777777" w:rsidR="00CB0790" w:rsidRDefault="00AD3320" w:rsidP="00AD3320">
      <w:pPr>
        <w:tabs>
          <w:tab w:val="left" w:pos="2552"/>
        </w:tabs>
        <w:spacing w:after="0"/>
        <w:ind w:left="2552" w:hanging="2552"/>
        <w:rPr>
          <w:rFonts w:cs="Arial"/>
          <w:szCs w:val="20"/>
          <w:lang w:val="en-GB"/>
        </w:rPr>
        <w:sectPr w:rsidR="00CB0790" w:rsidSect="007B2815">
          <w:pgSz w:w="11910" w:h="16840"/>
          <w:pgMar w:top="1418" w:right="981" w:bottom="1418" w:left="998" w:header="890" w:footer="561" w:gutter="0"/>
          <w:cols w:space="720"/>
          <w:docGrid w:linePitch="299"/>
        </w:sectPr>
      </w:pPr>
      <w:r w:rsidRPr="009B5B67">
        <w:rPr>
          <w:rFonts w:cs="Arial"/>
          <w:szCs w:val="20"/>
          <w:lang w:val="en-GB"/>
        </w:rPr>
        <w:t xml:space="preserve">Investors: </w:t>
      </w:r>
      <w:r w:rsidRPr="009B5B67">
        <w:rPr>
          <w:rFonts w:cs="Arial"/>
          <w:szCs w:val="20"/>
          <w:lang w:val="en-GB"/>
        </w:rPr>
        <w:tab/>
        <w:t>For the purpose of cost estimates, costs have been allocated to the one who makes the investment, irrespective of its capacity to pass the costs of the investment down the value chain to consumers and irrespective of any public subsidies or incentives it received. Investors have been considered to represent companies, public or private and farmers; consumers represent households and state represents state investments from state budget.</w:t>
      </w:r>
    </w:p>
    <w:p w14:paraId="7D629551" w14:textId="4B092E5D" w:rsidR="00CB0790" w:rsidRDefault="00CB0790" w:rsidP="00AD3320">
      <w:pPr>
        <w:tabs>
          <w:tab w:val="left" w:pos="2552"/>
        </w:tabs>
        <w:spacing w:after="0"/>
        <w:ind w:left="2552" w:hanging="2552"/>
        <w:rPr>
          <w:rFonts w:cs="Arial"/>
          <w:szCs w:val="20"/>
          <w:lang w:val="en-GB"/>
        </w:rPr>
      </w:pPr>
    </w:p>
    <w:p w14:paraId="3A4480AD" w14:textId="5F1DAEB5" w:rsidR="00CB0790" w:rsidRDefault="00CB0790" w:rsidP="00AD3320">
      <w:pPr>
        <w:tabs>
          <w:tab w:val="left" w:pos="2552"/>
        </w:tabs>
        <w:spacing w:after="0"/>
        <w:ind w:left="2552" w:hanging="2552"/>
        <w:rPr>
          <w:rFonts w:cs="Arial"/>
          <w:szCs w:val="20"/>
          <w:lang w:val="en-GB"/>
        </w:rPr>
      </w:pPr>
    </w:p>
    <w:p w14:paraId="10C4513D" w14:textId="629AFDB7" w:rsidR="00CB0790" w:rsidRDefault="00CB0790" w:rsidP="00AD3320">
      <w:pPr>
        <w:tabs>
          <w:tab w:val="left" w:pos="2552"/>
        </w:tabs>
        <w:spacing w:after="0"/>
        <w:ind w:left="2552" w:hanging="2552"/>
        <w:rPr>
          <w:rFonts w:cs="Arial"/>
          <w:szCs w:val="20"/>
          <w:lang w:val="en-GB"/>
        </w:rPr>
      </w:pPr>
    </w:p>
    <w:p w14:paraId="6F043370" w14:textId="43FCABFA" w:rsidR="00CB0790" w:rsidRDefault="00CB0790" w:rsidP="00AD3320">
      <w:pPr>
        <w:tabs>
          <w:tab w:val="left" w:pos="2552"/>
        </w:tabs>
        <w:spacing w:after="0"/>
        <w:ind w:left="2552" w:hanging="2552"/>
        <w:rPr>
          <w:rFonts w:cs="Arial"/>
          <w:szCs w:val="20"/>
          <w:lang w:val="en-GB"/>
        </w:rPr>
      </w:pPr>
    </w:p>
    <w:p w14:paraId="4F5E671E" w14:textId="30640F05" w:rsidR="00CB0790" w:rsidRDefault="00CB0790" w:rsidP="00AD3320">
      <w:pPr>
        <w:tabs>
          <w:tab w:val="left" w:pos="2552"/>
        </w:tabs>
        <w:spacing w:after="0"/>
        <w:ind w:left="2552" w:hanging="2552"/>
        <w:rPr>
          <w:rFonts w:cs="Arial"/>
          <w:szCs w:val="20"/>
          <w:lang w:val="en-GB"/>
        </w:rPr>
      </w:pPr>
    </w:p>
    <w:p w14:paraId="09A0FE59" w14:textId="4CCC0893" w:rsidR="00CB0790" w:rsidRDefault="00CB0790" w:rsidP="00AD3320">
      <w:pPr>
        <w:tabs>
          <w:tab w:val="left" w:pos="2552"/>
        </w:tabs>
        <w:spacing w:after="0"/>
        <w:ind w:left="2552" w:hanging="2552"/>
        <w:rPr>
          <w:rFonts w:cs="Arial"/>
          <w:szCs w:val="20"/>
          <w:lang w:val="en-GB"/>
        </w:rPr>
      </w:pPr>
    </w:p>
    <w:p w14:paraId="4A71D23C" w14:textId="4E90282D" w:rsidR="00CB0790" w:rsidRDefault="00CB0790" w:rsidP="00AD3320">
      <w:pPr>
        <w:tabs>
          <w:tab w:val="left" w:pos="2552"/>
        </w:tabs>
        <w:spacing w:after="0"/>
        <w:ind w:left="2552" w:hanging="2552"/>
        <w:rPr>
          <w:rFonts w:cs="Arial"/>
          <w:szCs w:val="20"/>
          <w:lang w:val="en-GB"/>
        </w:rPr>
      </w:pPr>
    </w:p>
    <w:p w14:paraId="0B622D4D" w14:textId="055EBE13" w:rsidR="00CB0790" w:rsidRDefault="00CB0790" w:rsidP="00AD3320">
      <w:pPr>
        <w:tabs>
          <w:tab w:val="left" w:pos="2552"/>
        </w:tabs>
        <w:spacing w:after="0"/>
        <w:ind w:left="2552" w:hanging="2552"/>
        <w:rPr>
          <w:rFonts w:cs="Arial"/>
          <w:szCs w:val="20"/>
          <w:lang w:val="en-GB"/>
        </w:rPr>
      </w:pPr>
    </w:p>
    <w:p w14:paraId="1EAE87F7" w14:textId="47E060CF" w:rsidR="00CB0790" w:rsidRDefault="00CB0790" w:rsidP="00AD3320">
      <w:pPr>
        <w:tabs>
          <w:tab w:val="left" w:pos="2552"/>
        </w:tabs>
        <w:spacing w:after="0"/>
        <w:ind w:left="2552" w:hanging="2552"/>
        <w:rPr>
          <w:rFonts w:cs="Arial"/>
          <w:szCs w:val="20"/>
          <w:lang w:val="en-GB"/>
        </w:rPr>
      </w:pPr>
    </w:p>
    <w:p w14:paraId="05EECE41" w14:textId="7B941723" w:rsidR="00CB0790" w:rsidRDefault="00CB0790" w:rsidP="00AD3320">
      <w:pPr>
        <w:tabs>
          <w:tab w:val="left" w:pos="2552"/>
        </w:tabs>
        <w:spacing w:after="0"/>
        <w:ind w:left="2552" w:hanging="2552"/>
        <w:rPr>
          <w:rFonts w:cs="Arial"/>
          <w:szCs w:val="20"/>
          <w:lang w:val="en-GB"/>
        </w:rPr>
      </w:pPr>
    </w:p>
    <w:p w14:paraId="7B489977" w14:textId="70DC9DB2" w:rsidR="00CB0790" w:rsidRDefault="00CB0790" w:rsidP="00AD3320">
      <w:pPr>
        <w:tabs>
          <w:tab w:val="left" w:pos="2552"/>
        </w:tabs>
        <w:spacing w:after="0"/>
        <w:ind w:left="2552" w:hanging="2552"/>
        <w:rPr>
          <w:rFonts w:cs="Arial"/>
          <w:szCs w:val="20"/>
          <w:lang w:val="en-GB"/>
        </w:rPr>
      </w:pPr>
    </w:p>
    <w:p w14:paraId="5A9A998B" w14:textId="4FF9CADE" w:rsidR="00CB0790" w:rsidRDefault="00CB0790" w:rsidP="00AD3320">
      <w:pPr>
        <w:tabs>
          <w:tab w:val="left" w:pos="2552"/>
        </w:tabs>
        <w:spacing w:after="0"/>
        <w:ind w:left="2552" w:hanging="2552"/>
        <w:rPr>
          <w:rFonts w:cs="Arial"/>
          <w:szCs w:val="20"/>
          <w:lang w:val="en-GB"/>
        </w:rPr>
      </w:pPr>
    </w:p>
    <w:p w14:paraId="3CE89372" w14:textId="1DFCD40F" w:rsidR="00CB0790" w:rsidRDefault="00CB0790" w:rsidP="00AD3320">
      <w:pPr>
        <w:tabs>
          <w:tab w:val="left" w:pos="2552"/>
        </w:tabs>
        <w:spacing w:after="0"/>
        <w:ind w:left="2552" w:hanging="2552"/>
        <w:rPr>
          <w:rFonts w:cs="Arial"/>
          <w:szCs w:val="20"/>
          <w:lang w:val="en-GB"/>
        </w:rPr>
      </w:pPr>
    </w:p>
    <w:p w14:paraId="07600B9C" w14:textId="3ADFBC98" w:rsidR="00CB0790" w:rsidRDefault="00CB0790" w:rsidP="00AD3320">
      <w:pPr>
        <w:tabs>
          <w:tab w:val="left" w:pos="2552"/>
        </w:tabs>
        <w:spacing w:after="0"/>
        <w:ind w:left="2552" w:hanging="2552"/>
        <w:rPr>
          <w:rFonts w:cs="Arial"/>
          <w:szCs w:val="20"/>
          <w:lang w:val="en-GB"/>
        </w:rPr>
      </w:pPr>
    </w:p>
    <w:p w14:paraId="3452E02C" w14:textId="7EB57BFB" w:rsidR="00CB0790" w:rsidRDefault="00CB0790" w:rsidP="00AD3320">
      <w:pPr>
        <w:tabs>
          <w:tab w:val="left" w:pos="2552"/>
        </w:tabs>
        <w:spacing w:after="0"/>
        <w:ind w:left="2552" w:hanging="2552"/>
        <w:rPr>
          <w:rFonts w:cs="Arial"/>
          <w:szCs w:val="20"/>
          <w:lang w:val="en-GB"/>
        </w:rPr>
      </w:pPr>
    </w:p>
    <w:p w14:paraId="13624426" w14:textId="786F7850" w:rsidR="00CB0790" w:rsidRDefault="00CB0790" w:rsidP="00AD3320">
      <w:pPr>
        <w:tabs>
          <w:tab w:val="left" w:pos="2552"/>
        </w:tabs>
        <w:spacing w:after="0"/>
        <w:ind w:left="2552" w:hanging="2552"/>
        <w:rPr>
          <w:rFonts w:cs="Arial"/>
          <w:szCs w:val="20"/>
          <w:lang w:val="en-GB"/>
        </w:rPr>
      </w:pPr>
    </w:p>
    <w:p w14:paraId="67679FD4" w14:textId="426CCEA3" w:rsidR="00CB0790" w:rsidRDefault="00CB0790" w:rsidP="00AD3320">
      <w:pPr>
        <w:tabs>
          <w:tab w:val="left" w:pos="2552"/>
        </w:tabs>
        <w:spacing w:after="0"/>
        <w:ind w:left="2552" w:hanging="2552"/>
        <w:rPr>
          <w:rFonts w:cs="Arial"/>
          <w:szCs w:val="20"/>
          <w:lang w:val="en-GB"/>
        </w:rPr>
      </w:pPr>
    </w:p>
    <w:p w14:paraId="63401B8E" w14:textId="7A93E8D5" w:rsidR="00CB0790" w:rsidRDefault="00CB0790" w:rsidP="00AD3320">
      <w:pPr>
        <w:tabs>
          <w:tab w:val="left" w:pos="2552"/>
        </w:tabs>
        <w:spacing w:after="0"/>
        <w:ind w:left="2552" w:hanging="2552"/>
        <w:rPr>
          <w:rFonts w:cs="Arial"/>
          <w:szCs w:val="20"/>
          <w:lang w:val="en-GB"/>
        </w:rPr>
      </w:pPr>
    </w:p>
    <w:p w14:paraId="17583B87" w14:textId="2523AD8D" w:rsidR="00CB0790" w:rsidRDefault="00CB0790" w:rsidP="00AD3320">
      <w:pPr>
        <w:tabs>
          <w:tab w:val="left" w:pos="2552"/>
        </w:tabs>
        <w:spacing w:after="0"/>
        <w:ind w:left="2552" w:hanging="2552"/>
        <w:rPr>
          <w:rFonts w:cs="Arial"/>
          <w:szCs w:val="20"/>
          <w:lang w:val="en-GB"/>
        </w:rPr>
      </w:pPr>
    </w:p>
    <w:p w14:paraId="64C5B4D1" w14:textId="348A0BD5" w:rsidR="00CB0790" w:rsidRDefault="00CB0790" w:rsidP="00AD3320">
      <w:pPr>
        <w:tabs>
          <w:tab w:val="left" w:pos="2552"/>
        </w:tabs>
        <w:spacing w:after="0"/>
        <w:ind w:left="2552" w:hanging="2552"/>
        <w:rPr>
          <w:rFonts w:cs="Arial"/>
          <w:szCs w:val="20"/>
          <w:lang w:val="en-GB"/>
        </w:rPr>
      </w:pPr>
    </w:p>
    <w:p w14:paraId="2EF4BD67" w14:textId="4C51C825" w:rsidR="00CB0790" w:rsidRDefault="00CB0790" w:rsidP="00AD3320">
      <w:pPr>
        <w:tabs>
          <w:tab w:val="left" w:pos="2552"/>
        </w:tabs>
        <w:spacing w:after="0"/>
        <w:ind w:left="2552" w:hanging="2552"/>
        <w:rPr>
          <w:rFonts w:cs="Arial"/>
          <w:szCs w:val="20"/>
          <w:lang w:val="en-GB"/>
        </w:rPr>
      </w:pPr>
    </w:p>
    <w:p w14:paraId="78780423" w14:textId="5C753E13" w:rsidR="00CB0790" w:rsidRDefault="00CB0790" w:rsidP="00AD3320">
      <w:pPr>
        <w:tabs>
          <w:tab w:val="left" w:pos="2552"/>
        </w:tabs>
        <w:spacing w:after="0"/>
        <w:ind w:left="2552" w:hanging="2552"/>
        <w:rPr>
          <w:rFonts w:cs="Arial"/>
          <w:szCs w:val="20"/>
          <w:lang w:val="en-GB"/>
        </w:rPr>
      </w:pPr>
    </w:p>
    <w:p w14:paraId="18DB4170" w14:textId="507A53FB" w:rsidR="00CB0790" w:rsidRDefault="00CB0790">
      <w:pPr>
        <w:spacing w:after="0" w:line="240" w:lineRule="auto"/>
        <w:jc w:val="left"/>
        <w:rPr>
          <w:rFonts w:cs="Arial"/>
          <w:szCs w:val="20"/>
          <w:lang w:val="en-GB"/>
        </w:rPr>
      </w:pPr>
      <w:r>
        <w:rPr>
          <w:rFonts w:cs="Arial"/>
          <w:szCs w:val="20"/>
          <w:lang w:val="en-GB"/>
        </w:rPr>
        <w:br w:type="page"/>
      </w: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CB0790" w:rsidRPr="000324FE" w14:paraId="18D49782" w14:textId="77777777" w:rsidTr="00790A00">
        <w:trPr>
          <w:trHeight w:val="20"/>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A54DFB2" w14:textId="21A9D23E" w:rsidR="00CB0790" w:rsidRPr="00CB0790" w:rsidRDefault="00CB0790" w:rsidP="00790A00">
            <w:pPr>
              <w:pageBreakBefore/>
              <w:spacing w:after="0"/>
              <w:rPr>
                <w:rFonts w:eastAsia="Times New Roman" w:cs="Arial"/>
                <w:b/>
                <w:szCs w:val="20"/>
                <w:lang w:val="en-GB" w:eastAsia="de-DE"/>
              </w:rPr>
            </w:pPr>
            <w:r w:rsidRPr="00CB0790">
              <w:rPr>
                <w:rFonts w:cs="Arial"/>
                <w:b/>
                <w:szCs w:val="20"/>
                <w:lang w:val="en-GB"/>
              </w:rPr>
              <w:lastRenderedPageBreak/>
              <w:t xml:space="preserve">Mitigation action </w:t>
            </w:r>
            <w:r w:rsidRPr="00CB0790">
              <w:rPr>
                <w:rFonts w:cs="Arial"/>
                <w:b/>
                <w:szCs w:val="20"/>
                <w:lang w:val="en-GB"/>
              </w:rPr>
              <w:fldChar w:fldCharType="begin"/>
            </w:r>
            <w:r w:rsidRPr="00CB0790">
              <w:rPr>
                <w:rFonts w:cs="Arial"/>
                <w:b/>
                <w:szCs w:val="20"/>
                <w:lang w:val="en-GB"/>
              </w:rPr>
              <w:instrText xml:space="preserve"> SEQ Mitigation_action \* ARABIC </w:instrText>
            </w:r>
            <w:r w:rsidRPr="00CB0790">
              <w:rPr>
                <w:rFonts w:cs="Arial"/>
                <w:b/>
                <w:szCs w:val="20"/>
                <w:lang w:val="en-GB"/>
              </w:rPr>
              <w:fldChar w:fldCharType="separate"/>
            </w:r>
            <w:r w:rsidR="00921736">
              <w:rPr>
                <w:rFonts w:cs="Arial"/>
                <w:b/>
                <w:noProof/>
                <w:szCs w:val="20"/>
                <w:lang w:val="en-GB"/>
              </w:rPr>
              <w:t>1</w:t>
            </w:r>
            <w:r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5167008" w14:textId="77777777" w:rsidR="00CB0790" w:rsidRPr="00CB0790" w:rsidRDefault="00CB0790" w:rsidP="00790A00">
            <w:pPr>
              <w:spacing w:after="0"/>
              <w:rPr>
                <w:rFonts w:cs="Arial"/>
                <w:b/>
                <w:bCs/>
                <w:szCs w:val="20"/>
                <w:lang w:val="en-GB"/>
              </w:rPr>
            </w:pPr>
            <w:r w:rsidRPr="00CB0790">
              <w:rPr>
                <w:rFonts w:cs="Arial"/>
                <w:b/>
                <w:szCs w:val="20"/>
                <w:lang w:val="en-GB"/>
              </w:rPr>
              <w:t>Implementation of the emissions trading system (and implementation of equivalent measures)</w:t>
            </w:r>
          </w:p>
        </w:tc>
      </w:tr>
      <w:tr w:rsidR="00CB0790" w:rsidRPr="000324FE" w14:paraId="4F351154" w14:textId="77777777" w:rsidTr="00790A00">
        <w:trPr>
          <w:trHeight w:val="20"/>
        </w:trPr>
        <w:tc>
          <w:tcPr>
            <w:tcW w:w="4531" w:type="dxa"/>
            <w:tcBorders>
              <w:top w:val="single" w:sz="4" w:space="0" w:color="auto"/>
              <w:left w:val="single" w:sz="4" w:space="0" w:color="auto"/>
              <w:bottom w:val="single" w:sz="4" w:space="0" w:color="auto"/>
              <w:right w:val="single" w:sz="4" w:space="0" w:color="auto"/>
            </w:tcBorders>
            <w:hideMark/>
          </w:tcPr>
          <w:p w14:paraId="2EC51D56" w14:textId="77777777" w:rsidR="00CB0790" w:rsidRPr="00CB0790" w:rsidRDefault="00CB0790" w:rsidP="00790A00">
            <w:pPr>
              <w:spacing w:after="0"/>
              <w:rPr>
                <w:rFonts w:cs="Arial"/>
                <w:szCs w:val="20"/>
                <w:lang w:val="en-GB"/>
              </w:rPr>
            </w:pPr>
            <w:r w:rsidRPr="00CB0790">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5B032E2E" w14:textId="77777777" w:rsidR="00CB0790" w:rsidRPr="00CB0790" w:rsidRDefault="00CB0790" w:rsidP="00790A00">
            <w:pPr>
              <w:pStyle w:val="ListParagraph"/>
              <w:numPr>
                <w:ilvl w:val="0"/>
                <w:numId w:val="27"/>
              </w:numPr>
              <w:spacing w:after="0"/>
              <w:ind w:hanging="325"/>
              <w:rPr>
                <w:rFonts w:cs="Arial"/>
                <w:szCs w:val="20"/>
                <w:lang w:val="en-GB"/>
              </w:rPr>
            </w:pPr>
            <w:r w:rsidRPr="00CB0790">
              <w:rPr>
                <w:rFonts w:cs="Arial"/>
                <w:iCs/>
                <w:szCs w:val="20"/>
                <w:lang w:val="en-GB"/>
              </w:rPr>
              <w:t xml:space="preserve">ETS works on the 'cap and trade' principle. </w:t>
            </w:r>
          </w:p>
          <w:p w14:paraId="240F6E8F" w14:textId="77777777" w:rsidR="00CB0790" w:rsidRPr="00CB0790" w:rsidRDefault="00CB0790" w:rsidP="00790A00">
            <w:pPr>
              <w:pStyle w:val="ListParagraph"/>
              <w:numPr>
                <w:ilvl w:val="0"/>
                <w:numId w:val="27"/>
              </w:numPr>
              <w:spacing w:after="0"/>
              <w:ind w:hanging="325"/>
              <w:rPr>
                <w:rFonts w:cs="Arial"/>
                <w:szCs w:val="20"/>
                <w:lang w:val="en-GB"/>
              </w:rPr>
            </w:pPr>
            <w:r w:rsidRPr="00CB0790">
              <w:rPr>
                <w:rFonts w:cs="Arial"/>
                <w:iCs/>
                <w:szCs w:val="20"/>
                <w:lang w:val="en-GB"/>
              </w:rPr>
              <w:t xml:space="preserve">Implementation of the MRV aspects of EU-ETS in Serbia is expected to take place by 2025, in line with the planned EU accession year after which the full implementation of the EU ETS can commence. </w:t>
            </w:r>
          </w:p>
          <w:p w14:paraId="7F11213D" w14:textId="77777777" w:rsidR="00CB0790" w:rsidRPr="00CB0790" w:rsidRDefault="00CB0790" w:rsidP="00790A00">
            <w:pPr>
              <w:pStyle w:val="ListParagraph"/>
              <w:numPr>
                <w:ilvl w:val="0"/>
                <w:numId w:val="27"/>
              </w:numPr>
              <w:spacing w:after="0"/>
              <w:ind w:hanging="325"/>
              <w:rPr>
                <w:rFonts w:cs="Arial"/>
                <w:szCs w:val="20"/>
                <w:lang w:val="en-GB"/>
              </w:rPr>
            </w:pPr>
            <w:r w:rsidRPr="00CB0790">
              <w:rPr>
                <w:rFonts w:cs="Arial"/>
                <w:iCs/>
                <w:szCs w:val="20"/>
                <w:lang w:val="en-GB"/>
              </w:rPr>
              <w:t>The gradual introduction of CO2 tax (as equivalent measure) in the ETS sector in the period before entering the EU (2022-2025), is important.</w:t>
            </w:r>
          </w:p>
        </w:tc>
      </w:tr>
      <w:tr w:rsidR="00CB0790" w:rsidRPr="000324FE" w14:paraId="6C69E8EA" w14:textId="77777777" w:rsidTr="00790A00">
        <w:trPr>
          <w:trHeight w:val="20"/>
        </w:trPr>
        <w:tc>
          <w:tcPr>
            <w:tcW w:w="4531" w:type="dxa"/>
            <w:tcBorders>
              <w:top w:val="single" w:sz="4" w:space="0" w:color="auto"/>
              <w:left w:val="single" w:sz="4" w:space="0" w:color="auto"/>
              <w:bottom w:val="single" w:sz="4" w:space="0" w:color="auto"/>
              <w:right w:val="single" w:sz="4" w:space="0" w:color="auto"/>
            </w:tcBorders>
            <w:hideMark/>
          </w:tcPr>
          <w:p w14:paraId="41E69A35" w14:textId="77777777" w:rsidR="00CB0790" w:rsidRPr="00CB0790" w:rsidRDefault="00CB0790" w:rsidP="00790A00">
            <w:pPr>
              <w:spacing w:after="0"/>
              <w:rPr>
                <w:rFonts w:cs="Arial"/>
                <w:szCs w:val="20"/>
                <w:lang w:val="en-GB"/>
              </w:rPr>
            </w:pPr>
            <w:r w:rsidRPr="00CB0790">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46B6C329" w14:textId="77777777" w:rsidR="00CB0790" w:rsidRPr="00CB0790" w:rsidRDefault="00CB0790" w:rsidP="00790A00">
            <w:pPr>
              <w:spacing w:after="0"/>
              <w:rPr>
                <w:rFonts w:cs="Arial"/>
                <w:szCs w:val="20"/>
                <w:lang w:val="en-GB"/>
              </w:rPr>
            </w:pPr>
            <w:r w:rsidRPr="00CB0790">
              <w:rPr>
                <w:rFonts w:cs="Arial"/>
                <w:szCs w:val="20"/>
                <w:lang w:val="en-GB"/>
              </w:rPr>
              <w:t xml:space="preserve">Reduction of GHG emission by 15% </w:t>
            </w:r>
          </w:p>
        </w:tc>
      </w:tr>
      <w:tr w:rsidR="00CB0790" w:rsidRPr="009B5B67" w14:paraId="69833BEB" w14:textId="77777777" w:rsidTr="00790A00">
        <w:trPr>
          <w:trHeight w:val="20"/>
        </w:trPr>
        <w:tc>
          <w:tcPr>
            <w:tcW w:w="4531" w:type="dxa"/>
            <w:tcBorders>
              <w:top w:val="single" w:sz="4" w:space="0" w:color="auto"/>
              <w:left w:val="single" w:sz="4" w:space="0" w:color="auto"/>
              <w:bottom w:val="single" w:sz="4" w:space="0" w:color="auto"/>
              <w:right w:val="single" w:sz="4" w:space="0" w:color="auto"/>
            </w:tcBorders>
            <w:hideMark/>
          </w:tcPr>
          <w:p w14:paraId="36193DDD" w14:textId="77777777" w:rsidR="00CB0790" w:rsidRPr="00CB0790" w:rsidRDefault="00CB0790" w:rsidP="00790A00">
            <w:pPr>
              <w:spacing w:after="0"/>
              <w:rPr>
                <w:rFonts w:cs="Arial"/>
                <w:szCs w:val="20"/>
                <w:lang w:val="en-GB"/>
              </w:rPr>
            </w:pPr>
            <w:r w:rsidRPr="00CB0790">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01670DA6" w14:textId="77777777" w:rsidR="00CB0790" w:rsidRPr="00CB0790" w:rsidRDefault="00CB0790" w:rsidP="00790A00">
            <w:pPr>
              <w:spacing w:after="0"/>
              <w:rPr>
                <w:rFonts w:cs="Arial"/>
                <w:szCs w:val="20"/>
                <w:lang w:val="en-GB"/>
              </w:rPr>
            </w:pPr>
            <w:r w:rsidRPr="00CB0790">
              <w:rPr>
                <w:rFonts w:cs="Arial"/>
                <w:szCs w:val="20"/>
                <w:lang w:val="en-GB"/>
              </w:rPr>
              <w:t>Financial, regulatory</w:t>
            </w:r>
          </w:p>
        </w:tc>
      </w:tr>
      <w:tr w:rsidR="00CB0790" w:rsidRPr="009B5B67" w14:paraId="3E374A19" w14:textId="77777777" w:rsidTr="00790A00">
        <w:trPr>
          <w:trHeight w:val="20"/>
        </w:trPr>
        <w:tc>
          <w:tcPr>
            <w:tcW w:w="4531" w:type="dxa"/>
            <w:tcBorders>
              <w:top w:val="single" w:sz="4" w:space="0" w:color="auto"/>
              <w:left w:val="single" w:sz="4" w:space="0" w:color="auto"/>
              <w:bottom w:val="single" w:sz="4" w:space="0" w:color="auto"/>
              <w:right w:val="single" w:sz="4" w:space="0" w:color="auto"/>
            </w:tcBorders>
            <w:hideMark/>
          </w:tcPr>
          <w:p w14:paraId="6A9EA36D" w14:textId="77777777" w:rsidR="00CB0790" w:rsidRPr="00CB0790" w:rsidRDefault="00CB0790" w:rsidP="00790A00">
            <w:pPr>
              <w:spacing w:after="0"/>
              <w:rPr>
                <w:rFonts w:cs="Arial"/>
                <w:szCs w:val="20"/>
                <w:lang w:val="en-GB"/>
              </w:rPr>
            </w:pPr>
            <w:r w:rsidRPr="00CB0790">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62F077F8" w14:textId="77777777" w:rsidR="00CB0790" w:rsidRPr="00CB0790" w:rsidRDefault="00CB0790" w:rsidP="00790A00">
            <w:pPr>
              <w:spacing w:after="0"/>
              <w:rPr>
                <w:rFonts w:cs="Arial"/>
                <w:szCs w:val="20"/>
                <w:lang w:val="en-GB"/>
              </w:rPr>
            </w:pPr>
            <w:r w:rsidRPr="00CB0790">
              <w:rPr>
                <w:rFonts w:cs="Arial"/>
                <w:szCs w:val="20"/>
                <w:lang w:val="en-GB"/>
              </w:rPr>
              <w:t>Planned</w:t>
            </w:r>
          </w:p>
        </w:tc>
      </w:tr>
      <w:tr w:rsidR="00CB0790" w:rsidRPr="000324FE" w14:paraId="34D3DC7B" w14:textId="77777777" w:rsidTr="00790A00">
        <w:trPr>
          <w:trHeight w:val="20"/>
        </w:trPr>
        <w:tc>
          <w:tcPr>
            <w:tcW w:w="4531" w:type="dxa"/>
            <w:tcBorders>
              <w:top w:val="single" w:sz="4" w:space="0" w:color="auto"/>
              <w:left w:val="single" w:sz="4" w:space="0" w:color="auto"/>
              <w:bottom w:val="single" w:sz="4" w:space="0" w:color="auto"/>
              <w:right w:val="single" w:sz="4" w:space="0" w:color="auto"/>
            </w:tcBorders>
            <w:hideMark/>
          </w:tcPr>
          <w:p w14:paraId="6A227539" w14:textId="77777777" w:rsidR="00CB0790" w:rsidRPr="00CB0790" w:rsidRDefault="00CB0790" w:rsidP="00790A00">
            <w:pPr>
              <w:spacing w:after="0"/>
              <w:rPr>
                <w:rFonts w:cs="Arial"/>
                <w:szCs w:val="20"/>
                <w:lang w:val="en-GB"/>
              </w:rPr>
            </w:pPr>
            <w:r w:rsidRPr="00CB0790">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46F80B3C" w14:textId="77777777" w:rsidR="00CB0790" w:rsidRPr="00CB0790" w:rsidRDefault="00CB0790" w:rsidP="00790A00">
            <w:pPr>
              <w:spacing w:after="0"/>
              <w:rPr>
                <w:rFonts w:cs="Arial"/>
                <w:szCs w:val="20"/>
                <w:lang w:val="en-GB"/>
              </w:rPr>
            </w:pPr>
            <w:r w:rsidRPr="00CB0790">
              <w:rPr>
                <w:rFonts w:cs="Arial"/>
                <w:szCs w:val="20"/>
                <w:lang w:val="en-GB"/>
              </w:rPr>
              <w:t xml:space="preserve">Energy, </w:t>
            </w:r>
            <w:r w:rsidRPr="00CB0790">
              <w:rPr>
                <w:rFonts w:cstheme="minorHAnsi"/>
                <w:szCs w:val="20"/>
                <w:lang w:val="en-GB"/>
              </w:rPr>
              <w:t xml:space="preserve">Industrial </w:t>
            </w:r>
            <w:proofErr w:type="gramStart"/>
            <w:r w:rsidRPr="00CB0790">
              <w:rPr>
                <w:rFonts w:cstheme="minorHAnsi"/>
                <w:szCs w:val="20"/>
                <w:lang w:val="en-GB"/>
              </w:rPr>
              <w:t>processes</w:t>
            </w:r>
            <w:proofErr w:type="gramEnd"/>
            <w:r w:rsidRPr="00CB0790">
              <w:rPr>
                <w:rFonts w:cstheme="minorHAnsi"/>
                <w:szCs w:val="20"/>
                <w:lang w:val="en-GB"/>
              </w:rPr>
              <w:t xml:space="preserve"> and product use (IPPU)</w:t>
            </w:r>
          </w:p>
        </w:tc>
      </w:tr>
      <w:tr w:rsidR="00CB0790" w:rsidRPr="009B5B67" w14:paraId="6B993499" w14:textId="77777777" w:rsidTr="00790A00">
        <w:trPr>
          <w:trHeight w:val="20"/>
        </w:trPr>
        <w:tc>
          <w:tcPr>
            <w:tcW w:w="4531" w:type="dxa"/>
            <w:tcBorders>
              <w:top w:val="single" w:sz="4" w:space="0" w:color="auto"/>
              <w:left w:val="single" w:sz="4" w:space="0" w:color="auto"/>
              <w:bottom w:val="single" w:sz="4" w:space="0" w:color="auto"/>
              <w:right w:val="single" w:sz="4" w:space="0" w:color="auto"/>
            </w:tcBorders>
            <w:hideMark/>
          </w:tcPr>
          <w:p w14:paraId="3EBE32CD" w14:textId="77777777" w:rsidR="00CB0790" w:rsidRPr="00CB0790" w:rsidRDefault="00CB0790" w:rsidP="00790A00">
            <w:pPr>
              <w:spacing w:after="0"/>
              <w:rPr>
                <w:rFonts w:cs="Arial"/>
                <w:szCs w:val="20"/>
                <w:lang w:val="en-GB"/>
              </w:rPr>
            </w:pPr>
            <w:r w:rsidRPr="00CB0790">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21AFAD54" w14:textId="77777777" w:rsidR="00CB0790" w:rsidRPr="00CB0790" w:rsidRDefault="00CB0790" w:rsidP="00790A00">
            <w:pPr>
              <w:spacing w:after="0"/>
              <w:rPr>
                <w:rFonts w:cs="Arial"/>
                <w:szCs w:val="20"/>
                <w:lang w:val="en-GB"/>
              </w:rPr>
            </w:pPr>
            <w:r w:rsidRPr="00CB0790">
              <w:rPr>
                <w:rFonts w:cs="Arial"/>
                <w:szCs w:val="20"/>
                <w:lang w:val="en-GB"/>
              </w:rPr>
              <w:t>CO</w:t>
            </w:r>
            <w:r w:rsidRPr="00CB0790">
              <w:rPr>
                <w:rFonts w:cs="Arial"/>
                <w:szCs w:val="20"/>
                <w:vertAlign w:val="subscript"/>
                <w:lang w:val="en-GB"/>
              </w:rPr>
              <w:t>2</w:t>
            </w:r>
            <w:r w:rsidRPr="00CB0790">
              <w:rPr>
                <w:rFonts w:cs="Arial"/>
                <w:szCs w:val="20"/>
                <w:lang w:val="en-GB"/>
              </w:rPr>
              <w:t>, N</w:t>
            </w:r>
            <w:r w:rsidRPr="00CB0790">
              <w:rPr>
                <w:rFonts w:cs="Arial"/>
                <w:szCs w:val="20"/>
                <w:vertAlign w:val="subscript"/>
                <w:lang w:val="en-GB"/>
              </w:rPr>
              <w:t>2</w:t>
            </w:r>
            <w:r w:rsidRPr="00CB0790">
              <w:rPr>
                <w:rFonts w:cs="Arial"/>
                <w:szCs w:val="20"/>
                <w:lang w:val="en-GB"/>
              </w:rPr>
              <w:t>O</w:t>
            </w:r>
          </w:p>
        </w:tc>
      </w:tr>
      <w:tr w:rsidR="00CB0790" w:rsidRPr="009B5B67" w14:paraId="59EBDA28" w14:textId="77777777" w:rsidTr="00790A00">
        <w:trPr>
          <w:trHeight w:val="20"/>
        </w:trPr>
        <w:tc>
          <w:tcPr>
            <w:tcW w:w="4531" w:type="dxa"/>
            <w:tcBorders>
              <w:top w:val="single" w:sz="4" w:space="0" w:color="auto"/>
              <w:left w:val="single" w:sz="4" w:space="0" w:color="auto"/>
              <w:bottom w:val="single" w:sz="4" w:space="0" w:color="auto"/>
              <w:right w:val="single" w:sz="4" w:space="0" w:color="auto"/>
            </w:tcBorders>
            <w:hideMark/>
          </w:tcPr>
          <w:p w14:paraId="6F83BD8D" w14:textId="77777777" w:rsidR="00CB0790" w:rsidRPr="00CB0790" w:rsidRDefault="00CB0790" w:rsidP="00790A00">
            <w:pPr>
              <w:spacing w:after="0"/>
              <w:rPr>
                <w:rFonts w:cs="Arial"/>
                <w:szCs w:val="20"/>
                <w:lang w:val="en-GB"/>
              </w:rPr>
            </w:pPr>
            <w:r w:rsidRPr="00CB0790">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2C0BC0B0" w14:textId="77777777" w:rsidR="00CB0790" w:rsidRPr="00CB0790" w:rsidRDefault="00CB0790" w:rsidP="00790A00">
            <w:pPr>
              <w:spacing w:after="0"/>
              <w:rPr>
                <w:rFonts w:cs="Arial"/>
                <w:szCs w:val="20"/>
                <w:lang w:val="en-GB"/>
              </w:rPr>
            </w:pPr>
            <w:r w:rsidRPr="00CB0790">
              <w:rPr>
                <w:rFonts w:cs="Arial"/>
                <w:szCs w:val="20"/>
                <w:lang w:val="en-GB"/>
              </w:rPr>
              <w:t>2025</w:t>
            </w:r>
          </w:p>
        </w:tc>
      </w:tr>
      <w:tr w:rsidR="00CB0790" w:rsidRPr="000324FE" w14:paraId="5BF00BB7" w14:textId="77777777" w:rsidTr="00790A00">
        <w:trPr>
          <w:trHeight w:val="20"/>
        </w:trPr>
        <w:tc>
          <w:tcPr>
            <w:tcW w:w="4531" w:type="dxa"/>
            <w:tcBorders>
              <w:top w:val="single" w:sz="4" w:space="0" w:color="auto"/>
              <w:left w:val="single" w:sz="4" w:space="0" w:color="auto"/>
              <w:bottom w:val="single" w:sz="4" w:space="0" w:color="auto"/>
              <w:right w:val="single" w:sz="4" w:space="0" w:color="auto"/>
            </w:tcBorders>
            <w:hideMark/>
          </w:tcPr>
          <w:p w14:paraId="481D0F8A" w14:textId="77777777" w:rsidR="00CB0790" w:rsidRPr="00CB0790" w:rsidRDefault="00CB0790" w:rsidP="00790A00">
            <w:pPr>
              <w:spacing w:after="0"/>
              <w:rPr>
                <w:rFonts w:cs="Arial"/>
                <w:szCs w:val="20"/>
                <w:lang w:val="en-GB"/>
              </w:rPr>
            </w:pPr>
            <w:r w:rsidRPr="00CB0790">
              <w:rPr>
                <w:rFonts w:cs="Arial"/>
                <w:szCs w:val="20"/>
                <w:lang w:val="en-GB"/>
              </w:rPr>
              <w:t>Implementing entity(</w:t>
            </w:r>
            <w:proofErr w:type="spellStart"/>
            <w:r w:rsidRPr="00CB0790">
              <w:rPr>
                <w:rFonts w:cs="Arial"/>
                <w:szCs w:val="20"/>
                <w:lang w:val="en-GB"/>
              </w:rPr>
              <w:t>ies</w:t>
            </w:r>
            <w:proofErr w:type="spellEnd"/>
            <w:r w:rsidRPr="00CB0790">
              <w:rPr>
                <w:rFonts w:cs="Arial"/>
                <w:szCs w:val="20"/>
                <w:lang w:val="en-GB"/>
              </w:rPr>
              <w:t>)</w:t>
            </w:r>
          </w:p>
        </w:tc>
        <w:tc>
          <w:tcPr>
            <w:tcW w:w="9498" w:type="dxa"/>
            <w:tcBorders>
              <w:top w:val="single" w:sz="4" w:space="0" w:color="auto"/>
              <w:left w:val="single" w:sz="4" w:space="0" w:color="auto"/>
              <w:bottom w:val="single" w:sz="4" w:space="0" w:color="auto"/>
              <w:right w:val="single" w:sz="4" w:space="0" w:color="auto"/>
            </w:tcBorders>
            <w:hideMark/>
          </w:tcPr>
          <w:p w14:paraId="1DEA0743" w14:textId="77777777" w:rsidR="00CB0790" w:rsidRPr="00CB0790" w:rsidRDefault="00CB0790" w:rsidP="00790A00">
            <w:pPr>
              <w:pStyle w:val="ListParagraph"/>
              <w:numPr>
                <w:ilvl w:val="0"/>
                <w:numId w:val="27"/>
              </w:numPr>
              <w:spacing w:after="0"/>
              <w:ind w:hanging="325"/>
              <w:rPr>
                <w:rFonts w:cs="Arial"/>
                <w:szCs w:val="20"/>
                <w:lang w:val="en-GB" w:eastAsia="sr-Latn-RS"/>
              </w:rPr>
            </w:pPr>
            <w:r w:rsidRPr="00CB0790">
              <w:rPr>
                <w:rFonts w:cs="Arial"/>
                <w:szCs w:val="20"/>
                <w:lang w:val="en-GB" w:eastAsia="sr-Latn-RS"/>
              </w:rPr>
              <w:t>Ministry of Environmental Protection</w:t>
            </w:r>
          </w:p>
          <w:p w14:paraId="36255EEC" w14:textId="77777777" w:rsidR="00CB0790" w:rsidRPr="00CB0790" w:rsidRDefault="00CB0790" w:rsidP="00790A00">
            <w:pPr>
              <w:pStyle w:val="ListParagraph"/>
              <w:numPr>
                <w:ilvl w:val="0"/>
                <w:numId w:val="27"/>
              </w:numPr>
              <w:spacing w:after="0"/>
              <w:ind w:hanging="325"/>
              <w:rPr>
                <w:rFonts w:cs="Arial"/>
                <w:szCs w:val="20"/>
                <w:lang w:val="en-GB" w:eastAsia="de-DE"/>
              </w:rPr>
            </w:pPr>
            <w:r w:rsidRPr="00CB0790">
              <w:rPr>
                <w:rFonts w:cs="Arial"/>
                <w:szCs w:val="20"/>
                <w:lang w:val="en-GB" w:eastAsia="sr-Latn-RS"/>
              </w:rPr>
              <w:t>Ministry</w:t>
            </w:r>
            <w:r w:rsidRPr="00CB0790">
              <w:rPr>
                <w:rFonts w:cs="Arial"/>
                <w:szCs w:val="20"/>
                <w:lang w:val="en-GB"/>
              </w:rPr>
              <w:t xml:space="preserve"> of Finance </w:t>
            </w:r>
          </w:p>
          <w:p w14:paraId="52B74572" w14:textId="77777777" w:rsidR="00CB0790" w:rsidRPr="00CB0790" w:rsidRDefault="00CB0790" w:rsidP="00790A00">
            <w:pPr>
              <w:pStyle w:val="ListParagraph"/>
              <w:numPr>
                <w:ilvl w:val="0"/>
                <w:numId w:val="27"/>
              </w:numPr>
              <w:spacing w:after="0"/>
              <w:rPr>
                <w:rFonts w:cs="Arial"/>
                <w:szCs w:val="20"/>
                <w:lang w:val="en-GB" w:eastAsia="de-DE"/>
              </w:rPr>
            </w:pPr>
            <w:r w:rsidRPr="00CB0790">
              <w:rPr>
                <w:rFonts w:cs="Arial"/>
                <w:b/>
                <w:bCs/>
                <w:lang w:val="en-GB"/>
              </w:rPr>
              <w:t>Implementation partners:</w:t>
            </w:r>
            <w:r w:rsidRPr="00CB0790">
              <w:rPr>
                <w:rFonts w:cs="Arial"/>
                <w:szCs w:val="20"/>
                <w:lang w:val="en-GB" w:eastAsia="de-DE"/>
              </w:rPr>
              <w:t xml:space="preserve"> Environmental Protection Agency, Civil Aviation Directorate, Accreditation Body of the Republic of Serbia, Ministry of Mining and Energy</w:t>
            </w:r>
          </w:p>
        </w:tc>
      </w:tr>
      <w:tr w:rsidR="00CB0790" w:rsidRPr="003B7B3C" w14:paraId="2D07E9DE" w14:textId="77777777" w:rsidTr="00790A00">
        <w:trPr>
          <w:trHeight w:val="20"/>
        </w:trPr>
        <w:tc>
          <w:tcPr>
            <w:tcW w:w="4531" w:type="dxa"/>
            <w:tcBorders>
              <w:top w:val="single" w:sz="4" w:space="0" w:color="auto"/>
              <w:left w:val="single" w:sz="4" w:space="0" w:color="auto"/>
              <w:bottom w:val="single" w:sz="4" w:space="0" w:color="auto"/>
              <w:right w:val="single" w:sz="4" w:space="0" w:color="auto"/>
            </w:tcBorders>
            <w:hideMark/>
          </w:tcPr>
          <w:p w14:paraId="22FE5B80" w14:textId="77777777" w:rsidR="00CB0790" w:rsidRPr="00CB0790" w:rsidRDefault="00CB0790" w:rsidP="00790A00">
            <w:pPr>
              <w:spacing w:after="0"/>
              <w:rPr>
                <w:rFonts w:cs="Arial"/>
                <w:szCs w:val="20"/>
                <w:lang w:val="en-GB"/>
              </w:rPr>
            </w:pPr>
            <w:r w:rsidRPr="00CB0790">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1309062F" w14:textId="77777777" w:rsidR="00CB0790" w:rsidRPr="00CB0790" w:rsidRDefault="00CB0790" w:rsidP="00790A00">
            <w:pPr>
              <w:spacing w:after="0"/>
              <w:rPr>
                <w:rFonts w:cs="Arial"/>
                <w:szCs w:val="20"/>
                <w:lang w:val="en-GB"/>
              </w:rPr>
            </w:pPr>
            <w:r w:rsidRPr="00CB0790">
              <w:rPr>
                <w:rFonts w:cs="Arial"/>
                <w:szCs w:val="20"/>
                <w:lang w:val="en-GB"/>
              </w:rPr>
              <w:t>Investment Costs: 279,3 Mio. EURO</w:t>
            </w:r>
          </w:p>
          <w:p w14:paraId="5C3EF3E4" w14:textId="77777777" w:rsidR="00CB0790" w:rsidRPr="00CB0790" w:rsidRDefault="00CB0790" w:rsidP="00790A00">
            <w:pPr>
              <w:spacing w:after="0"/>
              <w:rPr>
                <w:rFonts w:cs="Arial"/>
                <w:szCs w:val="20"/>
                <w:lang w:val="en-GB"/>
              </w:rPr>
            </w:pPr>
            <w:r w:rsidRPr="00CB0790">
              <w:rPr>
                <w:rFonts w:cs="Arial"/>
                <w:szCs w:val="20"/>
                <w:lang w:val="en-GB"/>
              </w:rPr>
              <w:t>Add. budget revenues: 3910,3 Mio. EURO</w:t>
            </w:r>
          </w:p>
          <w:p w14:paraId="761F6238" w14:textId="77777777" w:rsidR="00CB0790" w:rsidRPr="00CB0790" w:rsidRDefault="00CB0790" w:rsidP="00790A00">
            <w:pPr>
              <w:spacing w:after="0"/>
              <w:rPr>
                <w:rFonts w:cs="Arial"/>
                <w:szCs w:val="20"/>
                <w:lang w:val="en-GB"/>
              </w:rPr>
            </w:pPr>
            <w:r w:rsidRPr="00CB0790">
              <w:rPr>
                <w:rFonts w:cs="Arial"/>
                <w:szCs w:val="20"/>
                <w:lang w:val="en-GB"/>
              </w:rPr>
              <w:t>EU and other funds: 1,6 Mio. EURO</w:t>
            </w:r>
          </w:p>
        </w:tc>
      </w:tr>
      <w:tr w:rsidR="00CB0790" w:rsidRPr="00BB476F" w14:paraId="30A9915B" w14:textId="77777777" w:rsidTr="00790A00">
        <w:trPr>
          <w:trHeight w:val="20"/>
        </w:trPr>
        <w:tc>
          <w:tcPr>
            <w:tcW w:w="4531" w:type="dxa"/>
            <w:hideMark/>
          </w:tcPr>
          <w:p w14:paraId="23A3B64D" w14:textId="77777777" w:rsidR="00CB0790" w:rsidRPr="00CB0790" w:rsidRDefault="00CB0790" w:rsidP="00790A00">
            <w:pPr>
              <w:spacing w:after="0"/>
              <w:jc w:val="left"/>
              <w:rPr>
                <w:rFonts w:cs="Arial"/>
                <w:szCs w:val="20"/>
                <w:lang w:val="en-GB"/>
              </w:rPr>
            </w:pPr>
            <w:r w:rsidRPr="00CB0790">
              <w:rPr>
                <w:rFonts w:cs="Arial"/>
                <w:szCs w:val="20"/>
                <w:lang w:val="en-GB"/>
              </w:rPr>
              <w:t>Non-GHG mitigation co-benefits</w:t>
            </w:r>
          </w:p>
        </w:tc>
        <w:tc>
          <w:tcPr>
            <w:tcW w:w="9498" w:type="dxa"/>
            <w:hideMark/>
          </w:tcPr>
          <w:p w14:paraId="5A957AD8" w14:textId="77777777" w:rsidR="00CB0790" w:rsidRPr="00CB0790" w:rsidRDefault="00CB0790" w:rsidP="00790A00">
            <w:pPr>
              <w:pStyle w:val="ListParagraph"/>
              <w:numPr>
                <w:ilvl w:val="0"/>
                <w:numId w:val="27"/>
              </w:numPr>
              <w:spacing w:after="0"/>
              <w:ind w:hanging="325"/>
              <w:rPr>
                <w:rFonts w:cs="Arial"/>
                <w:szCs w:val="20"/>
                <w:lang w:val="en-GB" w:eastAsia="sr-Latn-RS"/>
              </w:rPr>
            </w:pPr>
            <w:r w:rsidRPr="00CB0790">
              <w:rPr>
                <w:rFonts w:cs="Arial"/>
                <w:szCs w:val="20"/>
                <w:lang w:val="en-GB" w:eastAsia="sr-Latn-RS"/>
              </w:rPr>
              <w:t xml:space="preserve">Improve air quality </w:t>
            </w:r>
          </w:p>
          <w:p w14:paraId="33968643" w14:textId="77777777" w:rsidR="00CB0790" w:rsidRPr="00CB0790" w:rsidRDefault="00CB0790" w:rsidP="00790A00">
            <w:pPr>
              <w:pStyle w:val="ListParagraph"/>
              <w:numPr>
                <w:ilvl w:val="0"/>
                <w:numId w:val="27"/>
              </w:numPr>
              <w:spacing w:after="0"/>
              <w:ind w:hanging="325"/>
              <w:rPr>
                <w:rFonts w:cs="Arial"/>
                <w:szCs w:val="20"/>
                <w:lang w:val="en-GB" w:eastAsia="sr-Latn-RS"/>
              </w:rPr>
            </w:pPr>
            <w:r w:rsidRPr="00CB0790">
              <w:rPr>
                <w:rFonts w:cs="Arial"/>
                <w:szCs w:val="20"/>
                <w:lang w:val="en-GB" w:eastAsia="sr-Latn-RS"/>
              </w:rPr>
              <w:t xml:space="preserve">Improve resource efficiency </w:t>
            </w:r>
          </w:p>
        </w:tc>
      </w:tr>
      <w:tr w:rsidR="00CB0790" w:rsidRPr="000324FE" w14:paraId="4353946B" w14:textId="77777777" w:rsidTr="00790A00">
        <w:trPr>
          <w:trHeight w:val="20"/>
        </w:trPr>
        <w:tc>
          <w:tcPr>
            <w:tcW w:w="4531" w:type="dxa"/>
            <w:hideMark/>
          </w:tcPr>
          <w:p w14:paraId="743A21CD" w14:textId="77777777" w:rsidR="00CB0790" w:rsidRPr="00CB0790" w:rsidRDefault="00CB0790" w:rsidP="00790A00">
            <w:pPr>
              <w:spacing w:after="0"/>
              <w:jc w:val="left"/>
              <w:rPr>
                <w:rFonts w:cs="Arial"/>
                <w:szCs w:val="20"/>
                <w:lang w:val="en-GB"/>
              </w:rPr>
            </w:pPr>
            <w:r w:rsidRPr="00CB0790">
              <w:rPr>
                <w:rFonts w:cs="Arial"/>
                <w:szCs w:val="20"/>
                <w:lang w:val="en-GB"/>
              </w:rPr>
              <w:t>Information on interactions of mitigation actions</w:t>
            </w:r>
          </w:p>
        </w:tc>
        <w:tc>
          <w:tcPr>
            <w:tcW w:w="9498" w:type="dxa"/>
            <w:hideMark/>
          </w:tcPr>
          <w:p w14:paraId="752FBC31" w14:textId="77777777" w:rsidR="00CB0790" w:rsidRPr="00CB0790" w:rsidRDefault="00CB0790" w:rsidP="00790A00">
            <w:pPr>
              <w:spacing w:after="0"/>
              <w:rPr>
                <w:rFonts w:cs="Arial"/>
                <w:szCs w:val="20"/>
                <w:lang w:val="en-GB"/>
              </w:rPr>
            </w:pPr>
            <w:r w:rsidRPr="00CB0790">
              <w:rPr>
                <w:rFonts w:cs="Arial"/>
                <w:szCs w:val="20"/>
                <w:lang w:val="en-GB"/>
              </w:rPr>
              <w:t xml:space="preserve">Support to realization of the Mitigation action 2 and Mitigation action 3) </w:t>
            </w:r>
          </w:p>
        </w:tc>
      </w:tr>
      <w:tr w:rsidR="00CB0790" w:rsidRPr="000324FE" w14:paraId="7808777B" w14:textId="77777777" w:rsidTr="00790A00">
        <w:trPr>
          <w:trHeight w:val="20"/>
        </w:trPr>
        <w:tc>
          <w:tcPr>
            <w:tcW w:w="4531" w:type="dxa"/>
            <w:hideMark/>
          </w:tcPr>
          <w:p w14:paraId="7871A702" w14:textId="77777777" w:rsidR="00CB0790" w:rsidRPr="00CB0790" w:rsidRDefault="00CB0790" w:rsidP="00790A00">
            <w:pPr>
              <w:spacing w:after="0"/>
              <w:jc w:val="left"/>
              <w:rPr>
                <w:rFonts w:cs="Arial"/>
                <w:szCs w:val="20"/>
                <w:lang w:val="en-GB"/>
              </w:rPr>
            </w:pPr>
            <w:r w:rsidRPr="00CB0790">
              <w:rPr>
                <w:rFonts w:cs="Arial"/>
                <w:szCs w:val="20"/>
                <w:lang w:val="en-GB"/>
              </w:rPr>
              <w:t>GHG emission reductions (in 2030 (single year) compared to WOM</w:t>
            </w:r>
          </w:p>
        </w:tc>
        <w:tc>
          <w:tcPr>
            <w:tcW w:w="9498" w:type="dxa"/>
            <w:hideMark/>
          </w:tcPr>
          <w:p w14:paraId="3B20E546" w14:textId="77777777" w:rsidR="00CB0790" w:rsidRPr="00CB0790" w:rsidRDefault="00CB0790" w:rsidP="00790A00">
            <w:pPr>
              <w:spacing w:after="0"/>
              <w:rPr>
                <w:rFonts w:cs="Arial"/>
                <w:szCs w:val="20"/>
                <w:lang w:val="en-GB"/>
              </w:rPr>
            </w:pPr>
            <w:r w:rsidRPr="00CB0790">
              <w:rPr>
                <w:rFonts w:cs="Arial"/>
                <w:szCs w:val="20"/>
                <w:lang w:val="en-GB"/>
              </w:rPr>
              <w:t>6,942 ktCO</w:t>
            </w:r>
            <w:r w:rsidRPr="00CB0790">
              <w:rPr>
                <w:rFonts w:cs="Arial"/>
                <w:szCs w:val="20"/>
                <w:vertAlign w:val="subscript"/>
                <w:lang w:val="en-GB"/>
              </w:rPr>
              <w:t xml:space="preserve">2 </w:t>
            </w:r>
            <w:r w:rsidRPr="00CB0790">
              <w:rPr>
                <w:rFonts w:cs="Arial"/>
                <w:szCs w:val="20"/>
                <w:lang w:val="en-GB"/>
              </w:rPr>
              <w:t>(combined mitigation impact with Mitigation action 3)</w:t>
            </w:r>
          </w:p>
        </w:tc>
      </w:tr>
      <w:tr w:rsidR="00CB0790" w:rsidRPr="009B5B67" w14:paraId="02EC5F59" w14:textId="77777777" w:rsidTr="00790A00">
        <w:trPr>
          <w:trHeight w:val="20"/>
        </w:trPr>
        <w:tc>
          <w:tcPr>
            <w:tcW w:w="4531" w:type="dxa"/>
            <w:hideMark/>
          </w:tcPr>
          <w:p w14:paraId="77DCADB4" w14:textId="77777777" w:rsidR="00CB0790" w:rsidRPr="00CB0790" w:rsidRDefault="00CB0790" w:rsidP="00790A00">
            <w:pPr>
              <w:spacing w:after="0"/>
              <w:jc w:val="left"/>
              <w:rPr>
                <w:rFonts w:cs="Arial"/>
                <w:szCs w:val="20"/>
                <w:lang w:val="en-GB"/>
              </w:rPr>
            </w:pPr>
            <w:r w:rsidRPr="00CB0790">
              <w:rPr>
                <w:rFonts w:cs="Arial"/>
                <w:szCs w:val="20"/>
                <w:lang w:val="en-GB"/>
              </w:rPr>
              <w:t>Target year or period</w:t>
            </w:r>
          </w:p>
        </w:tc>
        <w:tc>
          <w:tcPr>
            <w:tcW w:w="9498" w:type="dxa"/>
            <w:hideMark/>
          </w:tcPr>
          <w:p w14:paraId="6800D4B0" w14:textId="77777777" w:rsidR="00CB0790" w:rsidRPr="00CB0790" w:rsidRDefault="00CB0790" w:rsidP="00790A00">
            <w:pPr>
              <w:spacing w:after="0"/>
              <w:rPr>
                <w:rFonts w:cs="Arial"/>
                <w:szCs w:val="20"/>
                <w:lang w:val="en-GB"/>
              </w:rPr>
            </w:pPr>
            <w:r w:rsidRPr="00CB0790">
              <w:rPr>
                <w:rFonts w:cs="Arial"/>
                <w:szCs w:val="20"/>
                <w:lang w:val="en-GB"/>
              </w:rPr>
              <w:t>2030</w:t>
            </w:r>
          </w:p>
        </w:tc>
      </w:tr>
      <w:tr w:rsidR="00CB0790" w:rsidRPr="000324FE" w14:paraId="799F5A53" w14:textId="77777777" w:rsidTr="00790A00">
        <w:trPr>
          <w:trHeight w:val="20"/>
        </w:trPr>
        <w:tc>
          <w:tcPr>
            <w:tcW w:w="4531" w:type="dxa"/>
            <w:hideMark/>
          </w:tcPr>
          <w:p w14:paraId="41129307" w14:textId="77777777" w:rsidR="00CB0790" w:rsidRPr="00CB0790" w:rsidRDefault="00CB0790" w:rsidP="00790A00">
            <w:pPr>
              <w:spacing w:after="0"/>
              <w:jc w:val="left"/>
              <w:rPr>
                <w:rFonts w:cs="Arial"/>
                <w:szCs w:val="20"/>
                <w:lang w:val="en-GB"/>
              </w:rPr>
            </w:pPr>
            <w:r w:rsidRPr="00CB0790">
              <w:rPr>
                <w:rFonts w:cs="Arial"/>
                <w:szCs w:val="20"/>
                <w:lang w:val="en-GB"/>
              </w:rPr>
              <w:t>Other year</w:t>
            </w:r>
          </w:p>
        </w:tc>
        <w:tc>
          <w:tcPr>
            <w:tcW w:w="9498" w:type="dxa"/>
            <w:hideMark/>
          </w:tcPr>
          <w:p w14:paraId="009F4825" w14:textId="77777777" w:rsidR="00CB0790" w:rsidRPr="00CB0790" w:rsidRDefault="00CB0790" w:rsidP="00790A00">
            <w:pPr>
              <w:spacing w:after="0"/>
              <w:rPr>
                <w:rFonts w:cs="Arial"/>
                <w:szCs w:val="20"/>
                <w:lang w:val="en-GB"/>
              </w:rPr>
            </w:pPr>
            <w:r w:rsidRPr="00CB0790">
              <w:rPr>
                <w:rFonts w:cs="Arial"/>
                <w:szCs w:val="20"/>
                <w:lang w:val="en-GB"/>
              </w:rPr>
              <w:t>Achievement will be yearly monitored, and corrective measures made in 2030, if necessary</w:t>
            </w:r>
          </w:p>
        </w:tc>
      </w:tr>
    </w:tbl>
    <w:p w14:paraId="7DA03B47" w14:textId="6BB58702" w:rsidR="00CB0790" w:rsidRPr="00CB0790" w:rsidRDefault="00CB0790" w:rsidP="00AD3320">
      <w:pPr>
        <w:tabs>
          <w:tab w:val="left" w:pos="2552"/>
        </w:tabs>
        <w:spacing w:after="0"/>
        <w:ind w:left="2552" w:hanging="2552"/>
        <w:rPr>
          <w:rFonts w:cs="Arial"/>
          <w:szCs w:val="20"/>
          <w:lang w:val="en-US"/>
        </w:rPr>
      </w:pPr>
    </w:p>
    <w:p w14:paraId="2E09365D" w14:textId="77777777" w:rsidR="00CB0790" w:rsidRPr="009B5B67" w:rsidRDefault="00CB0790" w:rsidP="00AD3320">
      <w:pPr>
        <w:tabs>
          <w:tab w:val="left" w:pos="2552"/>
        </w:tabs>
        <w:spacing w:after="0"/>
        <w:ind w:left="2552" w:hanging="2552"/>
        <w:rPr>
          <w:rFonts w:cs="Arial"/>
          <w:szCs w:val="20"/>
          <w:lang w:val="en-GB"/>
        </w:rPr>
      </w:pPr>
    </w:p>
    <w:p w14:paraId="53755BA2" w14:textId="77777777" w:rsidR="00C21615" w:rsidRPr="009B5B67" w:rsidRDefault="00C21615" w:rsidP="00AD3320">
      <w:pPr>
        <w:tabs>
          <w:tab w:val="left" w:pos="2552"/>
        </w:tabs>
        <w:spacing w:after="0"/>
        <w:ind w:left="2552" w:hanging="2552"/>
        <w:rPr>
          <w:rFonts w:cs="Arial"/>
          <w:szCs w:val="20"/>
          <w:lang w:val="en-GB"/>
        </w:rPr>
        <w:sectPr w:rsidR="00C21615" w:rsidRPr="009B5B67" w:rsidSect="00CB0790">
          <w:pgSz w:w="16840" w:h="11910" w:orient="landscape"/>
          <w:pgMar w:top="998" w:right="1418" w:bottom="981" w:left="1418" w:header="890" w:footer="561" w:gutter="0"/>
          <w:cols w:space="720"/>
          <w:docGrid w:linePitch="299"/>
        </w:sect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9B5B67" w14:paraId="5AFCD6E5" w14:textId="77777777" w:rsidTr="00AD3320">
        <w:trPr>
          <w:trHeight w:val="20"/>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84931B6" w14:textId="27672B12" w:rsidR="00AD3320" w:rsidRPr="009B5B67" w:rsidRDefault="00AD3320" w:rsidP="00921736">
            <w:pPr>
              <w:pageBreakBefore/>
              <w:spacing w:after="0"/>
              <w:rPr>
                <w:rFonts w:eastAsia="Times New Roman" w:cs="Arial"/>
                <w:b/>
                <w:szCs w:val="20"/>
                <w:lang w:val="en-GB" w:eastAsia="de-DE"/>
              </w:rPr>
            </w:pPr>
            <w:r w:rsidRPr="009B5B67">
              <w:rPr>
                <w:rFonts w:cs="Arial"/>
                <w:b/>
                <w:szCs w:val="20"/>
                <w:lang w:val="en-GB"/>
              </w:rPr>
              <w:lastRenderedPageBreak/>
              <w:t xml:space="preserve">Mitigation action </w:t>
            </w:r>
            <w:r w:rsidR="00921736" w:rsidRPr="00CB0790">
              <w:rPr>
                <w:rFonts w:cs="Arial"/>
                <w:b/>
                <w:szCs w:val="20"/>
                <w:lang w:val="en-GB"/>
              </w:rPr>
              <w:fldChar w:fldCharType="begin"/>
            </w:r>
            <w:r w:rsidR="00921736" w:rsidRPr="00CB0790">
              <w:rPr>
                <w:rFonts w:cs="Arial"/>
                <w:b/>
                <w:szCs w:val="20"/>
                <w:lang w:val="en-GB"/>
              </w:rPr>
              <w:instrText xml:space="preserve"> SEQ Mitigation_action \* ARABIC </w:instrText>
            </w:r>
            <w:r w:rsidR="00921736" w:rsidRPr="00CB0790">
              <w:rPr>
                <w:rFonts w:cs="Arial"/>
                <w:b/>
                <w:szCs w:val="20"/>
                <w:lang w:val="en-GB"/>
              </w:rPr>
              <w:fldChar w:fldCharType="separate"/>
            </w:r>
            <w:r w:rsidR="00921736">
              <w:rPr>
                <w:rFonts w:cs="Arial"/>
                <w:b/>
                <w:noProof/>
                <w:szCs w:val="20"/>
                <w:lang w:val="en-GB"/>
              </w:rPr>
              <w:t>2</w:t>
            </w:r>
            <w:r w:rsidR="00921736"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B05077C" w14:textId="77777777" w:rsidR="00AD3320" w:rsidRPr="009B5B67" w:rsidRDefault="00AD3320" w:rsidP="00AD3320">
            <w:pPr>
              <w:spacing w:after="0"/>
              <w:rPr>
                <w:rFonts w:cs="Arial"/>
                <w:b/>
                <w:bCs/>
                <w:szCs w:val="20"/>
                <w:lang w:val="en-GB"/>
              </w:rPr>
            </w:pPr>
            <w:r w:rsidRPr="009B5B67">
              <w:rPr>
                <w:rFonts w:cs="Arial"/>
                <w:b/>
                <w:szCs w:val="20"/>
                <w:lang w:val="en-GB"/>
              </w:rPr>
              <w:t xml:space="preserve">Introduction of CO2 tax </w:t>
            </w:r>
          </w:p>
        </w:tc>
      </w:tr>
      <w:tr w:rsidR="00AD3320" w:rsidRPr="000324FE" w14:paraId="056F409B"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30CCE788"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3FDB2C2A" w14:textId="77777777" w:rsidR="00AD3320" w:rsidRPr="009B5B67" w:rsidRDefault="00AD3320" w:rsidP="00AD3320">
            <w:pPr>
              <w:spacing w:after="0"/>
              <w:rPr>
                <w:rFonts w:cs="Arial"/>
                <w:iCs/>
                <w:szCs w:val="20"/>
                <w:lang w:val="en-GB"/>
              </w:rPr>
            </w:pPr>
            <w:r w:rsidRPr="009B5B67">
              <w:rPr>
                <w:rFonts w:cs="Arial"/>
                <w:iCs/>
                <w:szCs w:val="20"/>
                <w:lang w:val="en-GB"/>
              </w:rPr>
              <w:t>The introduction of CO</w:t>
            </w:r>
            <w:r w:rsidRPr="009B5B67">
              <w:rPr>
                <w:rFonts w:cs="Arial"/>
                <w:iCs/>
                <w:szCs w:val="20"/>
                <w:vertAlign w:val="subscript"/>
                <w:lang w:val="en-GB"/>
              </w:rPr>
              <w:t>2</w:t>
            </w:r>
            <w:r w:rsidRPr="009B5B67">
              <w:rPr>
                <w:rFonts w:cs="Arial"/>
                <w:iCs/>
                <w:szCs w:val="20"/>
                <w:lang w:val="en-GB"/>
              </w:rPr>
              <w:t xml:space="preserve"> tax for</w:t>
            </w:r>
            <w:r w:rsidRPr="009B5B67">
              <w:rPr>
                <w:rFonts w:cs="Arial"/>
                <w:szCs w:val="20"/>
                <w:shd w:val="clear" w:color="auto" w:fill="FFFFFF"/>
                <w:lang w:val="en-GB"/>
              </w:rPr>
              <w:t xml:space="preserve"> plants above a certain size in</w:t>
            </w:r>
            <w:r w:rsidRPr="009B5B67">
              <w:rPr>
                <w:rFonts w:cs="Arial"/>
                <w:iCs/>
                <w:szCs w:val="20"/>
                <w:lang w:val="en-GB"/>
              </w:rPr>
              <w:t>:</w:t>
            </w:r>
          </w:p>
          <w:p w14:paraId="563A2657" w14:textId="77777777" w:rsidR="00AD3320" w:rsidRPr="009B5B67" w:rsidRDefault="00AD3320" w:rsidP="00AD3320">
            <w:pPr>
              <w:pStyle w:val="ListParagraph"/>
              <w:numPr>
                <w:ilvl w:val="0"/>
                <w:numId w:val="27"/>
              </w:numPr>
              <w:spacing w:after="0"/>
              <w:ind w:hanging="325"/>
              <w:rPr>
                <w:rFonts w:cs="Arial"/>
                <w:szCs w:val="20"/>
                <w:lang w:val="en-GB" w:eastAsia="sr-Latn-RS"/>
              </w:rPr>
            </w:pPr>
            <w:r w:rsidRPr="009B5B67">
              <w:rPr>
                <w:rFonts w:cs="Arial"/>
                <w:szCs w:val="20"/>
                <w:lang w:val="en-GB" w:eastAsia="sr-Latn-RS"/>
              </w:rPr>
              <w:t>power and heat generation</w:t>
            </w:r>
          </w:p>
          <w:p w14:paraId="0FDDC4B4" w14:textId="77777777" w:rsidR="00AD3320" w:rsidRPr="009B5B67" w:rsidRDefault="00AD3320" w:rsidP="00AD3320">
            <w:pPr>
              <w:pStyle w:val="ListParagraph"/>
              <w:numPr>
                <w:ilvl w:val="0"/>
                <w:numId w:val="27"/>
              </w:numPr>
              <w:spacing w:after="0"/>
              <w:ind w:hanging="325"/>
              <w:rPr>
                <w:rFonts w:cs="Arial"/>
                <w:szCs w:val="20"/>
                <w:lang w:val="en-GB" w:eastAsia="sr-Latn-RS"/>
              </w:rPr>
            </w:pPr>
            <w:r w:rsidRPr="009B5B67">
              <w:rPr>
                <w:rFonts w:cs="Arial"/>
                <w:szCs w:val="20"/>
                <w:lang w:val="en-GB" w:eastAsia="sr-Latn-RS"/>
              </w:rPr>
              <w:t xml:space="preserve">energy-intensive industry sectors including oil refineries, steel works and production of iron, </w:t>
            </w:r>
            <w:proofErr w:type="spellStart"/>
            <w:r w:rsidRPr="009B5B67">
              <w:rPr>
                <w:rFonts w:cs="Arial"/>
                <w:szCs w:val="20"/>
                <w:lang w:val="en-GB" w:eastAsia="sr-Latn-RS"/>
              </w:rPr>
              <w:t>aluminum</w:t>
            </w:r>
            <w:proofErr w:type="spellEnd"/>
            <w:r w:rsidRPr="009B5B67">
              <w:rPr>
                <w:rFonts w:cs="Arial"/>
                <w:szCs w:val="20"/>
                <w:lang w:val="en-GB" w:eastAsia="sr-Latn-RS"/>
              </w:rPr>
              <w:t xml:space="preserve">, metals, cement, lime, glass, ceramics, pulp, paper, cardboard, </w:t>
            </w:r>
            <w:proofErr w:type="gramStart"/>
            <w:r w:rsidRPr="009B5B67">
              <w:rPr>
                <w:rFonts w:cs="Arial"/>
                <w:szCs w:val="20"/>
                <w:lang w:val="en-GB" w:eastAsia="sr-Latn-RS"/>
              </w:rPr>
              <w:t>acids</w:t>
            </w:r>
            <w:proofErr w:type="gramEnd"/>
            <w:r w:rsidRPr="009B5B67">
              <w:rPr>
                <w:rFonts w:cs="Arial"/>
                <w:szCs w:val="20"/>
                <w:lang w:val="en-GB" w:eastAsia="sr-Latn-RS"/>
              </w:rPr>
              <w:t xml:space="preserve"> and bulk organic chemicals</w:t>
            </w:r>
          </w:p>
          <w:p w14:paraId="49CFF2D9" w14:textId="0C840592" w:rsidR="00AD3320" w:rsidRPr="009B5B67" w:rsidRDefault="00AD3320" w:rsidP="00AD3320">
            <w:pPr>
              <w:pStyle w:val="ListParagraph"/>
              <w:numPr>
                <w:ilvl w:val="0"/>
                <w:numId w:val="27"/>
              </w:numPr>
              <w:spacing w:after="0"/>
              <w:ind w:hanging="325"/>
              <w:rPr>
                <w:rFonts w:cs="Arial"/>
                <w:szCs w:val="20"/>
                <w:lang w:val="en-GB" w:eastAsia="sr-Latn-RS"/>
              </w:rPr>
            </w:pPr>
            <w:r w:rsidRPr="009B5B67">
              <w:rPr>
                <w:rFonts w:cs="Arial"/>
                <w:szCs w:val="20"/>
                <w:lang w:val="en-GB" w:eastAsia="sr-Latn-RS"/>
              </w:rPr>
              <w:t>production of nitric, adipic and glyoxylic acids and glyoxal</w:t>
            </w:r>
            <w:r w:rsidR="00CB0790">
              <w:rPr>
                <w:rFonts w:cs="Arial"/>
                <w:szCs w:val="20"/>
                <w:lang w:val="en-GB" w:eastAsia="sr-Latn-RS"/>
              </w:rPr>
              <w:t xml:space="preserve">, </w:t>
            </w:r>
            <w:proofErr w:type="spellStart"/>
            <w:r w:rsidR="00CB0790">
              <w:rPr>
                <w:rFonts w:cs="Arial"/>
                <w:szCs w:val="20"/>
                <w:lang w:val="en-GB" w:eastAsia="sr-Latn-RS"/>
              </w:rPr>
              <w:t>aluminum</w:t>
            </w:r>
            <w:proofErr w:type="spellEnd"/>
          </w:p>
          <w:p w14:paraId="40B546F0" w14:textId="77777777" w:rsidR="00AD3320" w:rsidRPr="009B5B67" w:rsidRDefault="00AD3320" w:rsidP="00AD3320">
            <w:pPr>
              <w:spacing w:after="0"/>
              <w:rPr>
                <w:rFonts w:cs="Arial"/>
                <w:szCs w:val="20"/>
                <w:lang w:val="en-GB"/>
              </w:rPr>
            </w:pPr>
            <w:r w:rsidRPr="009B5B67">
              <w:rPr>
                <w:rFonts w:cs="Arial"/>
                <w:iCs/>
                <w:szCs w:val="20"/>
                <w:lang w:val="en-GB"/>
              </w:rPr>
              <w:t xml:space="preserve"> CO</w:t>
            </w:r>
            <w:r w:rsidRPr="009B5B67">
              <w:rPr>
                <w:rFonts w:cs="Arial"/>
                <w:iCs/>
                <w:szCs w:val="20"/>
                <w:vertAlign w:val="subscript"/>
                <w:lang w:val="en-GB"/>
              </w:rPr>
              <w:t>2</w:t>
            </w:r>
            <w:r w:rsidRPr="009B5B67">
              <w:rPr>
                <w:rFonts w:cs="Arial"/>
                <w:iCs/>
                <w:szCs w:val="20"/>
                <w:lang w:val="en-GB"/>
              </w:rPr>
              <w:t xml:space="preserve"> tax shall start gradually increase from 2022. </w:t>
            </w:r>
          </w:p>
        </w:tc>
      </w:tr>
      <w:tr w:rsidR="00AD3320" w:rsidRPr="000324FE" w14:paraId="669E82FE"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180E1E80"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70B4E412" w14:textId="77777777" w:rsidR="00AD3320" w:rsidRPr="009B5B67" w:rsidRDefault="00AD3320" w:rsidP="00AD3320">
            <w:pPr>
              <w:spacing w:after="0"/>
              <w:rPr>
                <w:rFonts w:cs="Arial"/>
                <w:szCs w:val="20"/>
                <w:lang w:val="en-GB"/>
              </w:rPr>
            </w:pPr>
            <w:r w:rsidRPr="009B5B67">
              <w:rPr>
                <w:rFonts w:cs="Arial"/>
                <w:szCs w:val="20"/>
                <w:lang w:val="en-GB"/>
              </w:rPr>
              <w:t xml:space="preserve">Reduction of GHG emission by 15% </w:t>
            </w:r>
          </w:p>
        </w:tc>
      </w:tr>
      <w:tr w:rsidR="00AD3320" w:rsidRPr="009B5B67" w14:paraId="70830D10"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6A143F3C"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25CACF65" w14:textId="77777777" w:rsidR="00AD3320" w:rsidRPr="009B5B67" w:rsidRDefault="00AD3320" w:rsidP="00AD3320">
            <w:pPr>
              <w:spacing w:after="0"/>
              <w:rPr>
                <w:rFonts w:cs="Arial"/>
                <w:szCs w:val="20"/>
                <w:lang w:val="en-GB"/>
              </w:rPr>
            </w:pPr>
            <w:r w:rsidRPr="009B5B67">
              <w:rPr>
                <w:rFonts w:cs="Arial"/>
                <w:szCs w:val="20"/>
                <w:lang w:val="en-GB"/>
              </w:rPr>
              <w:t>Financial, regulatory</w:t>
            </w:r>
          </w:p>
        </w:tc>
      </w:tr>
      <w:tr w:rsidR="00AD3320" w:rsidRPr="009B5B67" w14:paraId="25DD0BCD"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6E990191"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7EDE0119"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0324FE" w14:paraId="26744E4F"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2C1A8AB8"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1148871E" w14:textId="77777777" w:rsidR="00AD3320" w:rsidRPr="009B5B67" w:rsidRDefault="00AD3320" w:rsidP="00AD3320">
            <w:pPr>
              <w:spacing w:after="0"/>
              <w:rPr>
                <w:rFonts w:cs="Arial"/>
                <w:szCs w:val="20"/>
                <w:lang w:val="en-GB"/>
              </w:rPr>
            </w:pPr>
            <w:r w:rsidRPr="009B5B67">
              <w:rPr>
                <w:rFonts w:cs="Arial"/>
                <w:szCs w:val="20"/>
                <w:lang w:val="en-GB"/>
              </w:rPr>
              <w:t xml:space="preserve">Energy, </w:t>
            </w:r>
            <w:r w:rsidRPr="009B5B67">
              <w:rPr>
                <w:rFonts w:cstheme="minorHAnsi"/>
                <w:szCs w:val="20"/>
                <w:lang w:val="en-GB"/>
              </w:rPr>
              <w:t xml:space="preserve">Industrial </w:t>
            </w:r>
            <w:proofErr w:type="gramStart"/>
            <w:r w:rsidRPr="009B5B67">
              <w:rPr>
                <w:rFonts w:cstheme="minorHAnsi"/>
                <w:szCs w:val="20"/>
                <w:lang w:val="en-GB"/>
              </w:rPr>
              <w:t>processes</w:t>
            </w:r>
            <w:proofErr w:type="gramEnd"/>
            <w:r w:rsidRPr="009B5B67">
              <w:rPr>
                <w:rFonts w:cstheme="minorHAnsi"/>
                <w:szCs w:val="20"/>
                <w:lang w:val="en-GB"/>
              </w:rPr>
              <w:t xml:space="preserve"> and product use (IPPU)</w:t>
            </w:r>
          </w:p>
        </w:tc>
      </w:tr>
      <w:tr w:rsidR="00AD3320" w:rsidRPr="009B5B67" w14:paraId="65E43C4C"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56ED0051"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5D32188A"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2</w:t>
            </w:r>
            <w:r w:rsidRPr="009B5B67">
              <w:rPr>
                <w:rFonts w:cs="Arial"/>
                <w:szCs w:val="20"/>
                <w:lang w:val="en-GB"/>
              </w:rPr>
              <w:t>, N</w:t>
            </w:r>
            <w:r w:rsidRPr="009B5B67">
              <w:rPr>
                <w:rFonts w:cs="Arial"/>
                <w:szCs w:val="20"/>
                <w:vertAlign w:val="subscript"/>
                <w:lang w:val="en-GB"/>
              </w:rPr>
              <w:t>2</w:t>
            </w:r>
            <w:r w:rsidRPr="009B5B67">
              <w:rPr>
                <w:rFonts w:cs="Arial"/>
                <w:szCs w:val="20"/>
                <w:lang w:val="en-GB"/>
              </w:rPr>
              <w:t>O</w:t>
            </w:r>
          </w:p>
        </w:tc>
      </w:tr>
      <w:tr w:rsidR="00AD3320" w:rsidRPr="009B5B67" w14:paraId="6A3CA987"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7FEA2B76"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559257BC" w14:textId="77777777" w:rsidR="00AD3320" w:rsidRPr="009B5B67" w:rsidRDefault="00AD3320" w:rsidP="00AD3320">
            <w:pPr>
              <w:spacing w:after="0"/>
              <w:rPr>
                <w:rFonts w:cs="Arial"/>
                <w:szCs w:val="20"/>
                <w:lang w:val="en-GB"/>
              </w:rPr>
            </w:pPr>
            <w:r w:rsidRPr="009B5B67">
              <w:rPr>
                <w:rFonts w:cs="Arial"/>
                <w:szCs w:val="20"/>
                <w:lang w:val="en-GB"/>
              </w:rPr>
              <w:t>2022</w:t>
            </w:r>
          </w:p>
        </w:tc>
      </w:tr>
      <w:tr w:rsidR="00AD3320" w:rsidRPr="000324FE" w14:paraId="24E72A9A"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34407EE7" w14:textId="77777777" w:rsidR="00AD3320" w:rsidRPr="009B5B67" w:rsidRDefault="00AD3320" w:rsidP="00AD3320">
            <w:pPr>
              <w:spacing w:after="0"/>
              <w:rPr>
                <w:rFonts w:cs="Arial"/>
                <w:szCs w:val="20"/>
                <w:lang w:val="en-GB"/>
              </w:rPr>
            </w:pPr>
            <w:r w:rsidRPr="009B5B67">
              <w:rPr>
                <w:rFonts w:cs="Arial"/>
                <w:szCs w:val="20"/>
                <w:lang w:val="en-GB"/>
              </w:rPr>
              <w:t>Implementing entity(</w:t>
            </w:r>
            <w:proofErr w:type="spellStart"/>
            <w:r w:rsidRPr="009B5B67">
              <w:rPr>
                <w:rFonts w:cs="Arial"/>
                <w:szCs w:val="20"/>
                <w:lang w:val="en-GB"/>
              </w:rPr>
              <w:t>ies</w:t>
            </w:r>
            <w:proofErr w:type="spellEnd"/>
            <w:r w:rsidRPr="009B5B67">
              <w:rPr>
                <w:rFonts w:cs="Arial"/>
                <w:szCs w:val="20"/>
                <w:lang w:val="en-GB"/>
              </w:rPr>
              <w:t>)</w:t>
            </w:r>
          </w:p>
        </w:tc>
        <w:tc>
          <w:tcPr>
            <w:tcW w:w="9498" w:type="dxa"/>
            <w:tcBorders>
              <w:top w:val="single" w:sz="4" w:space="0" w:color="auto"/>
              <w:left w:val="single" w:sz="4" w:space="0" w:color="auto"/>
              <w:bottom w:val="single" w:sz="4" w:space="0" w:color="auto"/>
              <w:right w:val="single" w:sz="4" w:space="0" w:color="auto"/>
            </w:tcBorders>
            <w:hideMark/>
          </w:tcPr>
          <w:p w14:paraId="356BA200" w14:textId="428B3A37" w:rsidR="00AD3320" w:rsidRPr="00CB0790" w:rsidRDefault="00AD3320" w:rsidP="00790A00">
            <w:pPr>
              <w:pStyle w:val="ListParagraph"/>
              <w:numPr>
                <w:ilvl w:val="0"/>
                <w:numId w:val="27"/>
              </w:numPr>
              <w:spacing w:after="0"/>
              <w:ind w:hanging="325"/>
              <w:rPr>
                <w:rFonts w:cs="Arial"/>
                <w:szCs w:val="20"/>
                <w:lang w:val="en-GB" w:eastAsia="de-DE"/>
              </w:rPr>
            </w:pPr>
            <w:r w:rsidRPr="00CB0790">
              <w:rPr>
                <w:rFonts w:cs="Arial"/>
                <w:szCs w:val="20"/>
                <w:lang w:val="en-GB" w:eastAsia="sr-Latn-RS"/>
              </w:rPr>
              <w:t>Ministry of Environmental Protection</w:t>
            </w:r>
            <w:r w:rsidR="00CB0790" w:rsidRPr="00CB0790">
              <w:rPr>
                <w:rFonts w:cs="Arial"/>
                <w:szCs w:val="20"/>
                <w:lang w:val="en-GB" w:eastAsia="sr-Latn-RS"/>
              </w:rPr>
              <w:t xml:space="preserve">, </w:t>
            </w:r>
            <w:r w:rsidRPr="00CB0790">
              <w:rPr>
                <w:rFonts w:cs="Arial"/>
                <w:szCs w:val="20"/>
                <w:lang w:val="en-GB" w:eastAsia="sr-Latn-RS"/>
              </w:rPr>
              <w:t>Ministry</w:t>
            </w:r>
            <w:r w:rsidRPr="00CB0790">
              <w:rPr>
                <w:rFonts w:cs="Arial"/>
                <w:szCs w:val="20"/>
                <w:lang w:val="en-GB"/>
              </w:rPr>
              <w:t xml:space="preserve"> of Finance </w:t>
            </w:r>
          </w:p>
          <w:p w14:paraId="2C7BCFFF" w14:textId="7BB948D1" w:rsidR="00CB0790" w:rsidRPr="009B5B67" w:rsidRDefault="00CB0790" w:rsidP="00AD3320">
            <w:pPr>
              <w:pStyle w:val="ListParagraph"/>
              <w:numPr>
                <w:ilvl w:val="0"/>
                <w:numId w:val="27"/>
              </w:numPr>
              <w:spacing w:after="0"/>
              <w:ind w:hanging="325"/>
              <w:rPr>
                <w:rFonts w:cs="Arial"/>
                <w:szCs w:val="20"/>
                <w:lang w:val="en-GB" w:eastAsia="de-DE"/>
              </w:rPr>
            </w:pPr>
            <w:r w:rsidRPr="00CB0790">
              <w:rPr>
                <w:rFonts w:cs="Arial"/>
                <w:szCs w:val="20"/>
                <w:lang w:val="en-GB"/>
              </w:rPr>
              <w:t>Environmental Protection Agency, Civil Aviation Directorate, Accreditation Body of the Republic of Serbia, Ministry of Mining and Energy</w:t>
            </w:r>
          </w:p>
        </w:tc>
      </w:tr>
      <w:tr w:rsidR="00AD3320" w:rsidRPr="009B5B67" w14:paraId="50F12CCB"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535A1BED"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42EE45F6" w14:textId="77777777" w:rsidR="00AD3320" w:rsidRPr="009B5B67" w:rsidRDefault="00AD3320" w:rsidP="00AD3320">
            <w:pPr>
              <w:spacing w:after="0"/>
              <w:rPr>
                <w:rFonts w:cs="Arial"/>
                <w:szCs w:val="20"/>
                <w:lang w:val="en-GB"/>
              </w:rPr>
            </w:pPr>
            <w:r w:rsidRPr="009B5B67">
              <w:rPr>
                <w:rFonts w:cs="Arial"/>
                <w:szCs w:val="20"/>
                <w:lang w:val="en-GB"/>
              </w:rPr>
              <w:t>Preparatory (start-off): 1.6 Mio. EURO</w:t>
            </w:r>
          </w:p>
          <w:p w14:paraId="49FED9AA" w14:textId="77777777" w:rsidR="00AD3320" w:rsidRPr="009B5B67" w:rsidRDefault="00AD3320" w:rsidP="00AD3320">
            <w:pPr>
              <w:spacing w:after="0"/>
              <w:rPr>
                <w:rFonts w:cs="Arial"/>
                <w:szCs w:val="20"/>
                <w:lang w:val="en-GB"/>
              </w:rPr>
            </w:pPr>
            <w:r w:rsidRPr="009B5B67">
              <w:rPr>
                <w:rFonts w:cs="Arial"/>
                <w:szCs w:val="20"/>
                <w:lang w:val="en-GB"/>
              </w:rPr>
              <w:t>Additional investment costs for investors: 279.3 Mio. EURO</w:t>
            </w:r>
          </w:p>
        </w:tc>
      </w:tr>
      <w:tr w:rsidR="00AD3320" w:rsidRPr="000324FE" w14:paraId="2DCB8969" w14:textId="77777777" w:rsidTr="00AD3320">
        <w:trPr>
          <w:trHeight w:val="20"/>
        </w:trPr>
        <w:tc>
          <w:tcPr>
            <w:tcW w:w="4531" w:type="dxa"/>
            <w:hideMark/>
          </w:tcPr>
          <w:p w14:paraId="4F504003" w14:textId="77777777" w:rsidR="00AD3320" w:rsidRPr="009B5B67" w:rsidRDefault="00AD3320" w:rsidP="00AD3320">
            <w:pPr>
              <w:spacing w:after="0"/>
              <w:jc w:val="left"/>
              <w:rPr>
                <w:rFonts w:cs="Arial"/>
                <w:szCs w:val="20"/>
                <w:lang w:val="en-GB"/>
              </w:rPr>
            </w:pPr>
            <w:r w:rsidRPr="009B5B67">
              <w:rPr>
                <w:rFonts w:cs="Arial"/>
                <w:szCs w:val="20"/>
                <w:lang w:val="en-GB"/>
              </w:rPr>
              <w:t>Non-GHG mitigation co-benefits</w:t>
            </w:r>
          </w:p>
        </w:tc>
        <w:tc>
          <w:tcPr>
            <w:tcW w:w="9498" w:type="dxa"/>
            <w:hideMark/>
          </w:tcPr>
          <w:p w14:paraId="54B48BE1" w14:textId="77777777" w:rsidR="00AD3320" w:rsidRPr="009B5B67" w:rsidRDefault="00AD3320" w:rsidP="00AD3320">
            <w:pPr>
              <w:pStyle w:val="ListParagraph"/>
              <w:numPr>
                <w:ilvl w:val="0"/>
                <w:numId w:val="27"/>
              </w:numPr>
              <w:spacing w:after="0"/>
              <w:ind w:hanging="325"/>
              <w:rPr>
                <w:rFonts w:cs="Arial"/>
                <w:szCs w:val="20"/>
                <w:lang w:val="en-GB" w:eastAsia="sr-Latn-RS"/>
              </w:rPr>
            </w:pPr>
            <w:r w:rsidRPr="009B5B67">
              <w:rPr>
                <w:rFonts w:cs="Arial"/>
                <w:szCs w:val="20"/>
                <w:lang w:val="en-GB" w:eastAsia="sr-Latn-RS"/>
              </w:rPr>
              <w:t xml:space="preserve">Improve air quality </w:t>
            </w:r>
          </w:p>
          <w:p w14:paraId="2D6719F2" w14:textId="77777777" w:rsidR="00AD3320" w:rsidRPr="009B5B67" w:rsidRDefault="00AD3320" w:rsidP="00AD3320">
            <w:pPr>
              <w:pStyle w:val="ListParagraph"/>
              <w:numPr>
                <w:ilvl w:val="0"/>
                <w:numId w:val="27"/>
              </w:numPr>
              <w:spacing w:after="0"/>
              <w:ind w:hanging="325"/>
              <w:rPr>
                <w:rFonts w:cs="Arial"/>
                <w:szCs w:val="20"/>
                <w:lang w:val="en-GB" w:eastAsia="sr-Latn-RS"/>
              </w:rPr>
            </w:pPr>
            <w:r w:rsidRPr="009B5B67">
              <w:rPr>
                <w:rFonts w:cs="Arial"/>
                <w:szCs w:val="20"/>
                <w:lang w:val="en-GB" w:eastAsia="sr-Latn-RS"/>
              </w:rPr>
              <w:t xml:space="preserve">Improve resource efficiency </w:t>
            </w:r>
          </w:p>
          <w:p w14:paraId="675B1F45" w14:textId="77777777" w:rsidR="00AD3320" w:rsidRPr="009B5B67" w:rsidRDefault="00AD3320" w:rsidP="00AD3320">
            <w:pPr>
              <w:pStyle w:val="ListParagraph"/>
              <w:numPr>
                <w:ilvl w:val="0"/>
                <w:numId w:val="27"/>
              </w:numPr>
              <w:spacing w:after="0"/>
              <w:ind w:hanging="325"/>
              <w:rPr>
                <w:rFonts w:cs="Arial"/>
                <w:szCs w:val="20"/>
                <w:lang w:val="en-GB"/>
              </w:rPr>
            </w:pPr>
            <w:r w:rsidRPr="009B5B67">
              <w:rPr>
                <w:rFonts w:cs="Arial"/>
                <w:szCs w:val="20"/>
                <w:lang w:val="en-GB" w:eastAsia="sr-Latn-RS"/>
              </w:rPr>
              <w:t>Reduce</w:t>
            </w:r>
            <w:r w:rsidRPr="009B5B67">
              <w:rPr>
                <w:rFonts w:cs="Arial"/>
                <w:szCs w:val="20"/>
                <w:lang w:val="en-GB"/>
              </w:rPr>
              <w:t xml:space="preserve"> negative impacts on health</w:t>
            </w:r>
          </w:p>
        </w:tc>
      </w:tr>
      <w:tr w:rsidR="00AD3320" w:rsidRPr="000324FE" w14:paraId="4879A953" w14:textId="77777777" w:rsidTr="00AD3320">
        <w:trPr>
          <w:trHeight w:val="20"/>
        </w:trPr>
        <w:tc>
          <w:tcPr>
            <w:tcW w:w="4531" w:type="dxa"/>
            <w:hideMark/>
          </w:tcPr>
          <w:p w14:paraId="746357D5" w14:textId="77777777" w:rsidR="00AD3320" w:rsidRPr="009B5B67" w:rsidRDefault="00AD3320" w:rsidP="00AD3320">
            <w:pPr>
              <w:spacing w:after="0"/>
              <w:jc w:val="left"/>
              <w:rPr>
                <w:rFonts w:cs="Arial"/>
                <w:szCs w:val="20"/>
                <w:lang w:val="en-GB"/>
              </w:rPr>
            </w:pPr>
            <w:r w:rsidRPr="009B5B67">
              <w:rPr>
                <w:rFonts w:cs="Arial"/>
                <w:szCs w:val="20"/>
                <w:lang w:val="en-GB"/>
              </w:rPr>
              <w:t>Information on interactions of mitigation actions</w:t>
            </w:r>
          </w:p>
        </w:tc>
        <w:tc>
          <w:tcPr>
            <w:tcW w:w="9498" w:type="dxa"/>
            <w:hideMark/>
          </w:tcPr>
          <w:p w14:paraId="222D8CA7" w14:textId="2BB0C5DE" w:rsidR="00AD3320" w:rsidRPr="009B5B67" w:rsidRDefault="00AD3320" w:rsidP="00CB0790">
            <w:pPr>
              <w:spacing w:after="0"/>
              <w:rPr>
                <w:rFonts w:cs="Arial"/>
                <w:szCs w:val="20"/>
                <w:lang w:val="en-GB"/>
              </w:rPr>
            </w:pPr>
            <w:r w:rsidRPr="009B5B67">
              <w:rPr>
                <w:rFonts w:cs="Arial"/>
                <w:szCs w:val="20"/>
                <w:lang w:val="en-GB"/>
              </w:rPr>
              <w:t xml:space="preserve">Support to realization of the </w:t>
            </w:r>
            <w:r w:rsidR="00CB0790">
              <w:rPr>
                <w:rFonts w:cs="Arial"/>
                <w:szCs w:val="20"/>
                <w:lang w:val="en-GB"/>
              </w:rPr>
              <w:t>Mitigation action 3</w:t>
            </w:r>
          </w:p>
        </w:tc>
      </w:tr>
      <w:tr w:rsidR="00AD3320" w:rsidRPr="004D4E8A" w14:paraId="06A9464F" w14:textId="77777777" w:rsidTr="00AD3320">
        <w:trPr>
          <w:trHeight w:val="20"/>
        </w:trPr>
        <w:tc>
          <w:tcPr>
            <w:tcW w:w="4531" w:type="dxa"/>
            <w:hideMark/>
          </w:tcPr>
          <w:p w14:paraId="7E61BA01" w14:textId="77777777" w:rsidR="00AD3320" w:rsidRPr="009B5B67" w:rsidRDefault="00AD3320" w:rsidP="00AD3320">
            <w:pPr>
              <w:spacing w:after="0"/>
              <w:jc w:val="left"/>
              <w:rPr>
                <w:rFonts w:cs="Arial"/>
                <w:szCs w:val="20"/>
                <w:lang w:val="en-GB"/>
              </w:rPr>
            </w:pPr>
            <w:r w:rsidRPr="009B5B67">
              <w:rPr>
                <w:rFonts w:cs="Arial"/>
                <w:szCs w:val="20"/>
                <w:lang w:val="en-GB"/>
              </w:rPr>
              <w:t>GHG emission reductions (in 2030 (single year) compared to WOM</w:t>
            </w:r>
          </w:p>
        </w:tc>
        <w:tc>
          <w:tcPr>
            <w:tcW w:w="9498" w:type="dxa"/>
            <w:hideMark/>
          </w:tcPr>
          <w:p w14:paraId="0629A4F0" w14:textId="225C36BB" w:rsidR="00AD3320" w:rsidRPr="009B5B67" w:rsidRDefault="00CB0790" w:rsidP="00AD3320">
            <w:pPr>
              <w:spacing w:after="0"/>
              <w:rPr>
                <w:rFonts w:cs="Arial"/>
                <w:szCs w:val="20"/>
                <w:lang w:val="en-GB"/>
              </w:rPr>
            </w:pPr>
            <w:r w:rsidRPr="00CB0790">
              <w:rPr>
                <w:rFonts w:cs="Arial"/>
                <w:szCs w:val="20"/>
                <w:lang w:val="en-GB"/>
              </w:rPr>
              <w:t>161 kt CO</w:t>
            </w:r>
            <w:r w:rsidRPr="00CB0790">
              <w:rPr>
                <w:rFonts w:cs="Arial"/>
                <w:szCs w:val="20"/>
                <w:vertAlign w:val="subscript"/>
                <w:lang w:val="en-GB"/>
              </w:rPr>
              <w:t>2</w:t>
            </w:r>
            <w:r>
              <w:rPr>
                <w:rFonts w:cs="Arial"/>
                <w:szCs w:val="20"/>
                <w:lang w:val="en-GB"/>
              </w:rPr>
              <w:t xml:space="preserve"> </w:t>
            </w:r>
            <w:proofErr w:type="spellStart"/>
            <w:r>
              <w:rPr>
                <w:rFonts w:cs="Arial"/>
                <w:szCs w:val="20"/>
                <w:lang w:val="en-GB"/>
              </w:rPr>
              <w:t>equ</w:t>
            </w:r>
            <w:proofErr w:type="spellEnd"/>
          </w:p>
        </w:tc>
      </w:tr>
      <w:tr w:rsidR="00AD3320" w:rsidRPr="009B5B67" w14:paraId="1EF6399B" w14:textId="77777777" w:rsidTr="00AD3320">
        <w:trPr>
          <w:trHeight w:val="20"/>
        </w:trPr>
        <w:tc>
          <w:tcPr>
            <w:tcW w:w="4531" w:type="dxa"/>
            <w:hideMark/>
          </w:tcPr>
          <w:p w14:paraId="26FB043E" w14:textId="77777777" w:rsidR="00AD3320" w:rsidRPr="009B5B67" w:rsidRDefault="00AD3320" w:rsidP="00AD3320">
            <w:pPr>
              <w:spacing w:after="0"/>
              <w:jc w:val="left"/>
              <w:rPr>
                <w:rFonts w:cs="Arial"/>
                <w:szCs w:val="20"/>
                <w:lang w:val="en-GB"/>
              </w:rPr>
            </w:pPr>
            <w:r w:rsidRPr="009B5B67">
              <w:rPr>
                <w:rFonts w:cs="Arial"/>
                <w:szCs w:val="20"/>
                <w:lang w:val="en-GB"/>
              </w:rPr>
              <w:t>Target year or period</w:t>
            </w:r>
          </w:p>
        </w:tc>
        <w:tc>
          <w:tcPr>
            <w:tcW w:w="9498" w:type="dxa"/>
            <w:hideMark/>
          </w:tcPr>
          <w:p w14:paraId="06DE7334"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0324FE" w14:paraId="65DAD69A" w14:textId="77777777" w:rsidTr="00AD3320">
        <w:trPr>
          <w:trHeight w:val="20"/>
        </w:trPr>
        <w:tc>
          <w:tcPr>
            <w:tcW w:w="4531" w:type="dxa"/>
            <w:hideMark/>
          </w:tcPr>
          <w:p w14:paraId="670CAD1F" w14:textId="77777777" w:rsidR="00AD3320" w:rsidRPr="009B5B67" w:rsidRDefault="00AD3320" w:rsidP="00AD3320">
            <w:pPr>
              <w:spacing w:after="0"/>
              <w:jc w:val="left"/>
              <w:rPr>
                <w:rFonts w:cs="Arial"/>
                <w:szCs w:val="20"/>
                <w:lang w:val="en-GB"/>
              </w:rPr>
            </w:pPr>
            <w:r w:rsidRPr="009B5B67">
              <w:rPr>
                <w:rFonts w:cs="Arial"/>
                <w:szCs w:val="20"/>
                <w:lang w:val="en-GB"/>
              </w:rPr>
              <w:t>Other year</w:t>
            </w:r>
          </w:p>
        </w:tc>
        <w:tc>
          <w:tcPr>
            <w:tcW w:w="9498" w:type="dxa"/>
            <w:hideMark/>
          </w:tcPr>
          <w:p w14:paraId="6C5A78D8" w14:textId="77777777" w:rsidR="00AD3320" w:rsidRPr="009B5B67" w:rsidRDefault="00AD3320" w:rsidP="00AD3320">
            <w:pPr>
              <w:spacing w:after="0"/>
              <w:rPr>
                <w:rFonts w:cs="Arial"/>
                <w:szCs w:val="20"/>
                <w:lang w:val="en-GB"/>
              </w:rPr>
            </w:pPr>
            <w:r w:rsidRPr="009B5B67">
              <w:rPr>
                <w:rFonts w:cs="Arial"/>
                <w:szCs w:val="20"/>
                <w:lang w:val="en-GB"/>
              </w:rPr>
              <w:t>Achievement will be yearly monitored, and corrective measures made in 2025, if necessary</w:t>
            </w:r>
          </w:p>
        </w:tc>
      </w:tr>
    </w:tbl>
    <w:p w14:paraId="1767AD96" w14:textId="77777777" w:rsidR="00AD3320" w:rsidRPr="009B5B67"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1B3B2378" w14:textId="77777777" w:rsidTr="00AD3320">
        <w:trPr>
          <w:trHeight w:val="20"/>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F7B0C96" w14:textId="1408BC0F" w:rsidR="00AD3320" w:rsidRPr="009B5B67" w:rsidRDefault="00AD3320" w:rsidP="00CB0790">
            <w:pPr>
              <w:spacing w:after="0"/>
              <w:rPr>
                <w:rFonts w:cs="Arial"/>
                <w:b/>
                <w:szCs w:val="20"/>
                <w:lang w:val="en-GB"/>
              </w:rPr>
            </w:pPr>
            <w:r w:rsidRPr="009B5B67">
              <w:rPr>
                <w:rFonts w:cs="Arial"/>
                <w:b/>
                <w:szCs w:val="20"/>
                <w:lang w:val="en-GB"/>
              </w:rPr>
              <w:t xml:space="preserve">Mitigation action </w:t>
            </w:r>
            <w:r w:rsidR="00921736" w:rsidRPr="00CB0790">
              <w:rPr>
                <w:rFonts w:cs="Arial"/>
                <w:b/>
                <w:szCs w:val="20"/>
                <w:lang w:val="en-GB"/>
              </w:rPr>
              <w:fldChar w:fldCharType="begin"/>
            </w:r>
            <w:r w:rsidR="00921736" w:rsidRPr="00CB0790">
              <w:rPr>
                <w:rFonts w:cs="Arial"/>
                <w:b/>
                <w:szCs w:val="20"/>
                <w:lang w:val="en-GB"/>
              </w:rPr>
              <w:instrText xml:space="preserve"> SEQ Mitigation_action \* ARABIC </w:instrText>
            </w:r>
            <w:r w:rsidR="00921736" w:rsidRPr="00CB0790">
              <w:rPr>
                <w:rFonts w:cs="Arial"/>
                <w:b/>
                <w:szCs w:val="20"/>
                <w:lang w:val="en-GB"/>
              </w:rPr>
              <w:fldChar w:fldCharType="separate"/>
            </w:r>
            <w:r w:rsidR="00921736">
              <w:rPr>
                <w:rFonts w:cs="Arial"/>
                <w:b/>
                <w:noProof/>
                <w:szCs w:val="20"/>
                <w:lang w:val="en-GB"/>
              </w:rPr>
              <w:t>3</w:t>
            </w:r>
            <w:r w:rsidR="00921736"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E9EC011" w14:textId="77777777" w:rsidR="00AD3320" w:rsidRPr="009B5B67" w:rsidRDefault="00AD3320" w:rsidP="00AD3320">
            <w:pPr>
              <w:spacing w:after="0"/>
              <w:rPr>
                <w:rFonts w:cs="Arial"/>
                <w:b/>
                <w:bCs/>
                <w:szCs w:val="20"/>
                <w:lang w:val="en-GB"/>
              </w:rPr>
            </w:pPr>
            <w:r w:rsidRPr="009B5B67">
              <w:rPr>
                <w:rFonts w:cs="Arial"/>
                <w:b/>
                <w:bCs/>
                <w:szCs w:val="20"/>
                <w:lang w:val="en-GB"/>
              </w:rPr>
              <w:t>Increasing the RES use in energy production</w:t>
            </w:r>
          </w:p>
        </w:tc>
      </w:tr>
      <w:tr w:rsidR="00AD3320" w:rsidRPr="000324FE" w14:paraId="293172C9"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46CC7D86"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2DF849BC" w14:textId="77777777" w:rsidR="00AD3320" w:rsidRPr="009B5B67" w:rsidRDefault="00AD3320" w:rsidP="00AD3320">
            <w:pPr>
              <w:spacing w:after="0"/>
              <w:rPr>
                <w:rFonts w:cs="Arial"/>
                <w:szCs w:val="20"/>
                <w:lang w:val="en-GB"/>
              </w:rPr>
            </w:pPr>
            <w:proofErr w:type="gramStart"/>
            <w:r w:rsidRPr="009B5B67">
              <w:rPr>
                <w:rFonts w:cs="Arial"/>
                <w:szCs w:val="20"/>
                <w:lang w:val="en-GB"/>
              </w:rPr>
              <w:t>In order to</w:t>
            </w:r>
            <w:proofErr w:type="gramEnd"/>
            <w:r w:rsidRPr="009B5B67">
              <w:rPr>
                <w:rFonts w:cs="Arial"/>
                <w:szCs w:val="20"/>
                <w:lang w:val="en-GB"/>
              </w:rPr>
              <w:t xml:space="preserve"> increase share of RES in energy system, that is mostly based on the coal the Government will continue to incentives use of RES for energy and heat production. The feed in tariff system currently in place in Serbia needs to be updated. </w:t>
            </w:r>
          </w:p>
        </w:tc>
      </w:tr>
      <w:tr w:rsidR="00AD3320" w:rsidRPr="000324FE" w14:paraId="7ACF7962"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690D596A"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402C33E4" w14:textId="77777777" w:rsidR="00AD3320" w:rsidRPr="009B5B67" w:rsidRDefault="00AD3320" w:rsidP="00AD3320">
            <w:pPr>
              <w:spacing w:after="0"/>
              <w:rPr>
                <w:rFonts w:cs="Arial"/>
                <w:szCs w:val="20"/>
                <w:lang w:val="en-GB"/>
              </w:rPr>
            </w:pPr>
            <w:r w:rsidRPr="009B5B67">
              <w:rPr>
                <w:rFonts w:cs="Arial"/>
                <w:szCs w:val="20"/>
                <w:lang w:val="en-GB"/>
              </w:rPr>
              <w:t xml:space="preserve">Reduction of GHG emissions by 17% </w:t>
            </w:r>
          </w:p>
        </w:tc>
      </w:tr>
      <w:tr w:rsidR="00AD3320" w:rsidRPr="009B5B67" w14:paraId="5E92DC34"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0470905A"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6D5E87F6" w14:textId="77777777" w:rsidR="00AD3320" w:rsidRPr="009B5B67" w:rsidRDefault="00AD3320" w:rsidP="00AD3320">
            <w:pPr>
              <w:spacing w:after="0"/>
              <w:rPr>
                <w:rFonts w:cs="Arial"/>
                <w:szCs w:val="20"/>
                <w:lang w:val="en-GB"/>
              </w:rPr>
            </w:pPr>
            <w:r w:rsidRPr="009B5B67">
              <w:rPr>
                <w:rFonts w:cs="Arial"/>
                <w:szCs w:val="20"/>
                <w:lang w:val="en-GB"/>
              </w:rPr>
              <w:t>Incentive, Financial, Regulatory</w:t>
            </w:r>
          </w:p>
        </w:tc>
      </w:tr>
      <w:tr w:rsidR="00AD3320" w:rsidRPr="009B5B67" w14:paraId="3970F8C7"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4316B033"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5872714A" w14:textId="77777777" w:rsidR="00AD3320" w:rsidRPr="009B5B67" w:rsidRDefault="00AD3320" w:rsidP="00AD3320">
            <w:pPr>
              <w:spacing w:after="0"/>
              <w:rPr>
                <w:rFonts w:cs="Arial"/>
                <w:szCs w:val="20"/>
                <w:lang w:val="en-GB"/>
              </w:rPr>
            </w:pPr>
            <w:r w:rsidRPr="009B5B67">
              <w:rPr>
                <w:rFonts w:cs="Arial"/>
                <w:szCs w:val="20"/>
                <w:lang w:val="en-GB"/>
              </w:rPr>
              <w:t xml:space="preserve">On-going </w:t>
            </w:r>
          </w:p>
        </w:tc>
      </w:tr>
      <w:tr w:rsidR="00AD3320" w:rsidRPr="009B5B67" w14:paraId="2D690AD5"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3E04BC6A"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56BD0B58" w14:textId="77777777" w:rsidR="00AD3320" w:rsidRPr="009B5B67" w:rsidRDefault="00AD3320" w:rsidP="00AD3320">
            <w:pPr>
              <w:spacing w:after="0"/>
              <w:rPr>
                <w:rFonts w:cs="Arial"/>
                <w:szCs w:val="20"/>
                <w:lang w:val="en-GB"/>
              </w:rPr>
            </w:pPr>
            <w:r w:rsidRPr="009B5B67">
              <w:rPr>
                <w:rFonts w:cs="Arial"/>
                <w:szCs w:val="20"/>
                <w:lang w:val="en-GB"/>
              </w:rPr>
              <w:t xml:space="preserve">Energy </w:t>
            </w:r>
          </w:p>
        </w:tc>
      </w:tr>
      <w:tr w:rsidR="00AD3320" w:rsidRPr="009B5B67" w14:paraId="17C5951F"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31D15B61"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47AB7573"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 xml:space="preserve">2, </w:t>
            </w:r>
            <w:r w:rsidRPr="009B5B67">
              <w:rPr>
                <w:rFonts w:cs="Arial"/>
                <w:szCs w:val="20"/>
                <w:lang w:val="en-GB"/>
              </w:rPr>
              <w:t>CH</w:t>
            </w:r>
            <w:r w:rsidRPr="009B5B67">
              <w:rPr>
                <w:rFonts w:cs="Arial"/>
                <w:szCs w:val="20"/>
                <w:vertAlign w:val="subscript"/>
                <w:lang w:val="en-GB"/>
              </w:rPr>
              <w:t>4</w:t>
            </w:r>
            <w:r w:rsidRPr="009B5B67">
              <w:rPr>
                <w:rFonts w:cs="Arial"/>
                <w:szCs w:val="20"/>
                <w:lang w:val="en-GB"/>
              </w:rPr>
              <w:t>, N</w:t>
            </w:r>
            <w:r w:rsidRPr="009B5B67">
              <w:rPr>
                <w:rFonts w:cs="Arial"/>
                <w:szCs w:val="20"/>
                <w:vertAlign w:val="subscript"/>
                <w:lang w:val="en-GB"/>
              </w:rPr>
              <w:t>2</w:t>
            </w:r>
            <w:r w:rsidRPr="009B5B67">
              <w:rPr>
                <w:rFonts w:cs="Arial"/>
                <w:szCs w:val="20"/>
                <w:lang w:val="en-GB"/>
              </w:rPr>
              <w:t>O</w:t>
            </w:r>
          </w:p>
        </w:tc>
      </w:tr>
      <w:tr w:rsidR="00AD3320" w:rsidRPr="009B5B67" w14:paraId="74F858A1"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11F67FA9"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388C2F1E" w14:textId="77777777" w:rsidR="00AD3320" w:rsidRPr="009B5B67" w:rsidRDefault="00AD3320" w:rsidP="00AD3320">
            <w:pPr>
              <w:spacing w:after="0"/>
              <w:rPr>
                <w:rFonts w:cs="Arial"/>
                <w:szCs w:val="20"/>
                <w:lang w:val="en-GB"/>
              </w:rPr>
            </w:pPr>
            <w:r w:rsidRPr="009B5B67">
              <w:rPr>
                <w:rFonts w:cs="Arial"/>
                <w:szCs w:val="20"/>
                <w:lang w:val="en-GB"/>
              </w:rPr>
              <w:t>From 2009</w:t>
            </w:r>
          </w:p>
        </w:tc>
      </w:tr>
      <w:tr w:rsidR="00AD3320" w:rsidRPr="000324FE" w14:paraId="12F8FA89"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766D044F"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4F4B3339" w14:textId="746412E1" w:rsidR="00AD3320" w:rsidRPr="009B5B67" w:rsidRDefault="00C92DBD" w:rsidP="00AD3320">
            <w:pPr>
              <w:spacing w:after="0"/>
              <w:rPr>
                <w:rFonts w:cs="Arial"/>
                <w:szCs w:val="20"/>
                <w:lang w:val="en-GB"/>
              </w:rPr>
            </w:pPr>
            <w:r>
              <w:rPr>
                <w:rFonts w:cs="Arial"/>
                <w:szCs w:val="20"/>
                <w:lang w:val="en-GB"/>
              </w:rPr>
              <w:t xml:space="preserve">Ministry of Mining and Energy, </w:t>
            </w:r>
            <w:r w:rsidRPr="00C92DBD">
              <w:rPr>
                <w:rFonts w:cs="Arial"/>
                <w:szCs w:val="20"/>
                <w:lang w:val="en-GB"/>
              </w:rPr>
              <w:t>Ministry of Environmental Protection</w:t>
            </w:r>
          </w:p>
        </w:tc>
      </w:tr>
      <w:tr w:rsidR="00AD3320" w:rsidRPr="000324FE" w14:paraId="497D11AA"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74B011AA"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21A293EE" w14:textId="77777777" w:rsidR="00AD3320" w:rsidRPr="009B5B67" w:rsidRDefault="00AD3320" w:rsidP="00AD3320">
            <w:pPr>
              <w:spacing w:after="0"/>
              <w:rPr>
                <w:rFonts w:cs="Arial"/>
                <w:szCs w:val="20"/>
                <w:lang w:val="en-GB"/>
              </w:rPr>
            </w:pPr>
            <w:r w:rsidRPr="009B5B67">
              <w:rPr>
                <w:rFonts w:cs="Arial"/>
                <w:szCs w:val="20"/>
                <w:lang w:val="en-GB"/>
              </w:rPr>
              <w:t xml:space="preserve">Preparatory (start-off): 2Mio EUR </w:t>
            </w:r>
          </w:p>
          <w:p w14:paraId="7511DDF6" w14:textId="77777777" w:rsidR="00AD3320" w:rsidRPr="009B5B67" w:rsidRDefault="00AD3320" w:rsidP="00AD3320">
            <w:pPr>
              <w:spacing w:after="0"/>
              <w:rPr>
                <w:rFonts w:cs="Arial"/>
                <w:szCs w:val="20"/>
                <w:lang w:val="en-GB"/>
              </w:rPr>
            </w:pPr>
            <w:r w:rsidRPr="009B5B67">
              <w:rPr>
                <w:rFonts w:cs="Arial"/>
                <w:szCs w:val="20"/>
                <w:lang w:val="en-GB"/>
              </w:rPr>
              <w:t xml:space="preserve">The additional investment costs for investors: 635Mio EUR. </w:t>
            </w:r>
          </w:p>
        </w:tc>
      </w:tr>
      <w:tr w:rsidR="00AD3320" w:rsidRPr="000324FE" w14:paraId="3054F746"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5E1B84CB"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60C23803" w14:textId="77777777" w:rsidR="00AD3320" w:rsidRPr="009B5B67" w:rsidRDefault="00AD3320" w:rsidP="00AD3320">
            <w:pPr>
              <w:spacing w:after="0"/>
              <w:rPr>
                <w:rFonts w:cs="Arial"/>
                <w:szCs w:val="20"/>
                <w:lang w:val="en-GB"/>
              </w:rPr>
            </w:pPr>
            <w:r w:rsidRPr="009B5B67">
              <w:rPr>
                <w:rFonts w:cs="Arial"/>
                <w:szCs w:val="20"/>
                <w:lang w:val="en-GB"/>
              </w:rPr>
              <w:t xml:space="preserve">Improve air quality </w:t>
            </w:r>
          </w:p>
          <w:p w14:paraId="15EBA3E2" w14:textId="77777777" w:rsidR="00AD3320" w:rsidRPr="009B5B67" w:rsidRDefault="00AD3320" w:rsidP="00AD3320">
            <w:pPr>
              <w:spacing w:after="0"/>
              <w:rPr>
                <w:rFonts w:cs="Arial"/>
                <w:szCs w:val="20"/>
                <w:lang w:val="en-GB" w:eastAsia="de-DE"/>
              </w:rPr>
            </w:pPr>
            <w:r w:rsidRPr="009B5B67">
              <w:rPr>
                <w:rFonts w:cs="Arial"/>
                <w:szCs w:val="20"/>
                <w:lang w:val="en-GB"/>
              </w:rPr>
              <w:t xml:space="preserve">Reduce impacts on health </w:t>
            </w:r>
          </w:p>
          <w:p w14:paraId="0BFAD1F2" w14:textId="77777777" w:rsidR="00AD3320" w:rsidRPr="009B5B67" w:rsidRDefault="00AD3320" w:rsidP="00AD3320">
            <w:pPr>
              <w:spacing w:after="0"/>
              <w:rPr>
                <w:rFonts w:cs="Arial"/>
                <w:szCs w:val="20"/>
                <w:lang w:val="en-GB" w:eastAsia="de-DE"/>
              </w:rPr>
            </w:pPr>
            <w:r w:rsidRPr="009B5B67">
              <w:rPr>
                <w:rFonts w:cs="Arial"/>
                <w:szCs w:val="20"/>
                <w:lang w:val="en-GB" w:eastAsia="de-DE"/>
              </w:rPr>
              <w:t xml:space="preserve">Increase number of green jobs </w:t>
            </w:r>
          </w:p>
        </w:tc>
      </w:tr>
      <w:tr w:rsidR="00AD3320" w:rsidRPr="000324FE" w14:paraId="47CEC4A6"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469F0169"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5D05EFD6" w14:textId="77777777" w:rsidR="00AD3320" w:rsidRPr="009B5B67" w:rsidRDefault="00AD3320" w:rsidP="00AD3320">
            <w:pPr>
              <w:spacing w:after="0"/>
              <w:rPr>
                <w:rFonts w:cs="Arial"/>
                <w:szCs w:val="20"/>
                <w:lang w:val="en-GB"/>
              </w:rPr>
            </w:pPr>
            <w:r w:rsidRPr="009B5B67">
              <w:rPr>
                <w:rFonts w:cs="Arial"/>
                <w:szCs w:val="20"/>
                <w:lang w:val="en-GB"/>
              </w:rPr>
              <w:t xml:space="preserve">Support to realization of the </w:t>
            </w:r>
            <w:r w:rsidRPr="009B5B67">
              <w:rPr>
                <w:rFonts w:cs="Arial"/>
                <w:szCs w:val="20"/>
                <w:lang w:val="en-GB"/>
              </w:rPr>
              <w:fldChar w:fldCharType="begin"/>
            </w:r>
            <w:r w:rsidRPr="009B5B67">
              <w:rPr>
                <w:rFonts w:cs="Arial"/>
                <w:szCs w:val="20"/>
                <w:lang w:val="en-GB"/>
              </w:rPr>
              <w:instrText xml:space="preserve"> REF _Ref37867731 \h  \* MERGEFORMAT </w:instrText>
            </w:r>
            <w:r w:rsidRPr="009B5B67">
              <w:rPr>
                <w:rFonts w:cs="Arial"/>
                <w:szCs w:val="20"/>
                <w:lang w:val="en-GB"/>
              </w:rPr>
            </w:r>
            <w:r w:rsidRPr="009B5B67">
              <w:rPr>
                <w:rFonts w:cs="Arial"/>
                <w:szCs w:val="20"/>
                <w:lang w:val="en-GB"/>
              </w:rPr>
              <w:fldChar w:fldCharType="separate"/>
            </w:r>
            <w:r w:rsidRPr="009B5B67">
              <w:rPr>
                <w:rFonts w:cs="Arial"/>
                <w:szCs w:val="20"/>
                <w:lang w:val="en-GB"/>
              </w:rPr>
              <w:t>Mitigation action 1</w:t>
            </w:r>
            <w:r w:rsidRPr="009B5B67">
              <w:rPr>
                <w:rFonts w:cs="Arial"/>
                <w:szCs w:val="20"/>
                <w:lang w:val="en-GB"/>
              </w:rPr>
              <w:fldChar w:fldCharType="end"/>
            </w:r>
          </w:p>
        </w:tc>
      </w:tr>
      <w:tr w:rsidR="00AD3320" w:rsidRPr="004D4E8A" w14:paraId="5E0FBCEF"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625B0153"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584EB201" w14:textId="5DEF399C" w:rsidR="00AD3320" w:rsidRPr="00C92DBD" w:rsidRDefault="00C92DBD" w:rsidP="00C92DBD">
            <w:pPr>
              <w:spacing w:after="0"/>
              <w:rPr>
                <w:rFonts w:cs="Arial"/>
                <w:szCs w:val="20"/>
                <w:lang w:val="en-GB"/>
              </w:rPr>
            </w:pPr>
            <w:r w:rsidRPr="00C92DBD">
              <w:rPr>
                <w:rFonts w:cs="Arial"/>
                <w:szCs w:val="20"/>
                <w:lang w:val="en-GB"/>
              </w:rPr>
              <w:t>Included in Mitigation measure 1</w:t>
            </w:r>
          </w:p>
        </w:tc>
      </w:tr>
      <w:tr w:rsidR="00AD3320" w:rsidRPr="009B5B67" w14:paraId="5AD6814E"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1CCFFE3C"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7258FC5D"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0324FE" w14:paraId="017961E0" w14:textId="77777777" w:rsidTr="00AD3320">
        <w:trPr>
          <w:trHeight w:val="20"/>
        </w:trPr>
        <w:tc>
          <w:tcPr>
            <w:tcW w:w="4531" w:type="dxa"/>
            <w:tcBorders>
              <w:top w:val="single" w:sz="4" w:space="0" w:color="auto"/>
              <w:left w:val="single" w:sz="4" w:space="0" w:color="auto"/>
              <w:bottom w:val="single" w:sz="4" w:space="0" w:color="auto"/>
              <w:right w:val="single" w:sz="4" w:space="0" w:color="auto"/>
            </w:tcBorders>
            <w:hideMark/>
          </w:tcPr>
          <w:p w14:paraId="722B818C"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0A15CD80" w14:textId="77777777" w:rsidR="00AD3320" w:rsidRPr="009B5B67" w:rsidRDefault="00AD3320" w:rsidP="00AD3320">
            <w:pPr>
              <w:spacing w:after="0"/>
              <w:rPr>
                <w:rFonts w:cs="Arial"/>
                <w:szCs w:val="20"/>
                <w:lang w:val="en-GB"/>
              </w:rPr>
            </w:pPr>
            <w:r w:rsidRPr="009B5B67">
              <w:rPr>
                <w:rFonts w:cs="Arial"/>
                <w:szCs w:val="20"/>
                <w:lang w:val="en-GB"/>
              </w:rPr>
              <w:t xml:space="preserve">Achievement will be yearly monitored, and corrective measures made in 2025, as necessary </w:t>
            </w:r>
          </w:p>
        </w:tc>
      </w:tr>
    </w:tbl>
    <w:p w14:paraId="28AC6E99" w14:textId="77777777" w:rsidR="00AD3320" w:rsidRPr="009B5B67" w:rsidRDefault="00AD3320" w:rsidP="00AD3320">
      <w:pPr>
        <w:spacing w:after="0"/>
        <w:rPr>
          <w:rFonts w:cs="Arial"/>
          <w:szCs w:val="20"/>
          <w:lang w:val="en-GB"/>
        </w:rPr>
      </w:pPr>
    </w:p>
    <w:p w14:paraId="7A1B9B1A" w14:textId="77777777" w:rsidR="00AD3320" w:rsidRPr="009B5B67"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4D6ABFFE" w14:textId="77777777" w:rsidTr="00AD3320">
        <w:trPr>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01A30A4" w14:textId="779506DA" w:rsidR="00AD3320" w:rsidRPr="009B5B67" w:rsidRDefault="00AD3320" w:rsidP="00921736">
            <w:pPr>
              <w:spacing w:after="0"/>
              <w:rPr>
                <w:rFonts w:cs="Arial"/>
                <w:b/>
                <w:bCs/>
                <w:szCs w:val="20"/>
                <w:lang w:val="en-GB"/>
              </w:rPr>
            </w:pPr>
            <w:r w:rsidRPr="009B5B67">
              <w:rPr>
                <w:rFonts w:cs="Arial"/>
                <w:b/>
                <w:bCs/>
                <w:szCs w:val="20"/>
                <w:lang w:val="en-GB"/>
              </w:rPr>
              <w:lastRenderedPageBreak/>
              <w:t xml:space="preserve">Mitigation action </w:t>
            </w:r>
            <w:r w:rsidR="00921736" w:rsidRPr="00CB0790">
              <w:rPr>
                <w:rFonts w:cs="Arial"/>
                <w:b/>
                <w:szCs w:val="20"/>
                <w:lang w:val="en-GB"/>
              </w:rPr>
              <w:fldChar w:fldCharType="begin"/>
            </w:r>
            <w:r w:rsidR="00921736" w:rsidRPr="00CB0790">
              <w:rPr>
                <w:rFonts w:cs="Arial"/>
                <w:b/>
                <w:szCs w:val="20"/>
                <w:lang w:val="en-GB"/>
              </w:rPr>
              <w:instrText xml:space="preserve"> SEQ Mitigation_action \* ARABIC </w:instrText>
            </w:r>
            <w:r w:rsidR="00921736" w:rsidRPr="00CB0790">
              <w:rPr>
                <w:rFonts w:cs="Arial"/>
                <w:b/>
                <w:szCs w:val="20"/>
                <w:lang w:val="en-GB"/>
              </w:rPr>
              <w:fldChar w:fldCharType="separate"/>
            </w:r>
            <w:r w:rsidR="00921736">
              <w:rPr>
                <w:rFonts w:cs="Arial"/>
                <w:b/>
                <w:noProof/>
                <w:szCs w:val="20"/>
                <w:lang w:val="en-GB"/>
              </w:rPr>
              <w:t>4</w:t>
            </w:r>
            <w:r w:rsidR="00921736"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7C8CCEF" w14:textId="77777777" w:rsidR="00AD3320" w:rsidRPr="009B5B67" w:rsidRDefault="00AD3320" w:rsidP="00AD3320">
            <w:pPr>
              <w:spacing w:after="0"/>
              <w:rPr>
                <w:rFonts w:cs="Arial"/>
                <w:b/>
                <w:bCs/>
                <w:szCs w:val="20"/>
                <w:lang w:val="en-GB"/>
              </w:rPr>
            </w:pPr>
            <w:r w:rsidRPr="009B5B67">
              <w:rPr>
                <w:rFonts w:cs="Arial"/>
                <w:b/>
                <w:bCs/>
                <w:szCs w:val="20"/>
                <w:lang w:val="en-GB"/>
              </w:rPr>
              <w:t>Improving energy efficiency and increasing use of CHP and RES in district heating systems</w:t>
            </w:r>
          </w:p>
        </w:tc>
      </w:tr>
      <w:tr w:rsidR="00AD3320" w:rsidRPr="000324FE" w14:paraId="550E0AE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35464F1"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27B13A15" w14:textId="77777777" w:rsidR="00AD3320" w:rsidRPr="009B5B67" w:rsidRDefault="00AD3320" w:rsidP="00AD3320">
            <w:pPr>
              <w:spacing w:after="0"/>
              <w:rPr>
                <w:rFonts w:cs="Arial"/>
                <w:szCs w:val="20"/>
                <w:lang w:val="en-GB"/>
              </w:rPr>
            </w:pPr>
            <w:r w:rsidRPr="009B5B67">
              <w:rPr>
                <w:rFonts w:cs="Arial"/>
                <w:szCs w:val="20"/>
                <w:lang w:val="en-GB"/>
              </w:rPr>
              <w:t xml:space="preserve">Different analysis as well as Energy development Strategy underline a large potential for CHP in district heating systems and in industry. There is potential for increase of share of electricity production from CHP in gross electricity production to 5.5 % in 2030 (4.0 % in 2015). </w:t>
            </w:r>
            <w:proofErr w:type="gramStart"/>
            <w:r w:rsidRPr="009B5B67">
              <w:rPr>
                <w:rFonts w:cs="Arial"/>
                <w:szCs w:val="20"/>
                <w:lang w:val="en-GB"/>
              </w:rPr>
              <w:t>In order to</w:t>
            </w:r>
            <w:proofErr w:type="gramEnd"/>
            <w:r w:rsidRPr="009B5B67">
              <w:rPr>
                <w:rFonts w:cs="Arial"/>
                <w:szCs w:val="20"/>
                <w:lang w:val="en-GB"/>
              </w:rPr>
              <w:t xml:space="preserve"> achieve that potential incentives shall be introduced. </w:t>
            </w:r>
          </w:p>
        </w:tc>
      </w:tr>
      <w:tr w:rsidR="00AD3320" w:rsidRPr="000324FE" w14:paraId="60C5C11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6C405A6"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791975B6" w14:textId="77777777" w:rsidR="00AD3320" w:rsidRPr="009B5B67" w:rsidRDefault="00AD3320" w:rsidP="00AD3320">
            <w:pPr>
              <w:spacing w:after="0"/>
              <w:rPr>
                <w:rFonts w:cs="Arial"/>
                <w:szCs w:val="20"/>
                <w:lang w:val="en-GB"/>
              </w:rPr>
            </w:pPr>
            <w:r w:rsidRPr="009B5B67">
              <w:rPr>
                <w:rFonts w:cs="Arial"/>
                <w:szCs w:val="20"/>
                <w:lang w:val="en-GB"/>
              </w:rPr>
              <w:t>Reduction of GHG emissions by 17%</w:t>
            </w:r>
          </w:p>
        </w:tc>
      </w:tr>
      <w:tr w:rsidR="00AD3320" w:rsidRPr="009B5B67" w14:paraId="4C9A2F5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D8DD133"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649F4154" w14:textId="77777777" w:rsidR="00AD3320" w:rsidRPr="009B5B67" w:rsidRDefault="00AD3320" w:rsidP="00AD3320">
            <w:pPr>
              <w:spacing w:after="0"/>
              <w:rPr>
                <w:rFonts w:cs="Arial"/>
                <w:szCs w:val="20"/>
                <w:lang w:val="en-GB"/>
              </w:rPr>
            </w:pPr>
            <w:r w:rsidRPr="009B5B67">
              <w:rPr>
                <w:rFonts w:cs="Arial"/>
                <w:szCs w:val="20"/>
                <w:lang w:val="en-GB"/>
              </w:rPr>
              <w:t>Incentive, Financial, Regulatory</w:t>
            </w:r>
          </w:p>
        </w:tc>
      </w:tr>
      <w:tr w:rsidR="00AD3320" w:rsidRPr="009B5B67" w14:paraId="4EF5D26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2183304"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056A02B0"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9B5B67" w14:paraId="0CCC0C4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796C484"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7DFDCDC5" w14:textId="77777777" w:rsidR="00AD3320" w:rsidRPr="009B5B67" w:rsidRDefault="00AD3320" w:rsidP="00AD3320">
            <w:pPr>
              <w:spacing w:after="0"/>
              <w:rPr>
                <w:rFonts w:cs="Arial"/>
                <w:szCs w:val="20"/>
                <w:lang w:val="en-GB"/>
              </w:rPr>
            </w:pPr>
            <w:r w:rsidRPr="009B5B67">
              <w:rPr>
                <w:rFonts w:cs="Arial"/>
                <w:szCs w:val="20"/>
                <w:lang w:val="en-GB"/>
              </w:rPr>
              <w:t xml:space="preserve">Energy </w:t>
            </w:r>
          </w:p>
        </w:tc>
      </w:tr>
      <w:tr w:rsidR="00AD3320" w:rsidRPr="009B5B67" w14:paraId="6D80EBD5"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AFF060A"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74975ABD"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2</w:t>
            </w:r>
          </w:p>
        </w:tc>
      </w:tr>
      <w:tr w:rsidR="00AD3320" w:rsidRPr="009B5B67" w14:paraId="445EA1F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5E44F3B"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22C03FDC" w14:textId="77777777" w:rsidR="00AD3320" w:rsidRPr="009B5B67" w:rsidRDefault="00AD3320" w:rsidP="00AD3320">
            <w:pPr>
              <w:spacing w:after="0"/>
              <w:rPr>
                <w:rFonts w:cs="Arial"/>
                <w:szCs w:val="20"/>
                <w:lang w:val="en-GB"/>
              </w:rPr>
            </w:pPr>
            <w:r w:rsidRPr="009B5B67">
              <w:rPr>
                <w:rFonts w:cs="Arial"/>
                <w:szCs w:val="20"/>
                <w:lang w:val="en-GB"/>
              </w:rPr>
              <w:t>2020</w:t>
            </w:r>
          </w:p>
        </w:tc>
      </w:tr>
      <w:tr w:rsidR="00AD3320" w:rsidRPr="000324FE" w14:paraId="0E2578A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D77EEF8"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7D179E6B" w14:textId="1550C3C6" w:rsidR="00AD3320" w:rsidRPr="009B5B67" w:rsidRDefault="00921736" w:rsidP="00AD3320">
            <w:pPr>
              <w:spacing w:after="0"/>
              <w:rPr>
                <w:rFonts w:cs="Arial"/>
                <w:szCs w:val="20"/>
                <w:lang w:val="en-GB"/>
              </w:rPr>
            </w:pPr>
            <w:r>
              <w:rPr>
                <w:rFonts w:cs="Arial"/>
                <w:szCs w:val="20"/>
                <w:lang w:val="en-GB"/>
              </w:rPr>
              <w:t xml:space="preserve">Ministry of Mining and Energy, </w:t>
            </w:r>
            <w:r w:rsidRPr="00921736">
              <w:rPr>
                <w:rFonts w:cs="Arial"/>
                <w:szCs w:val="20"/>
                <w:lang w:val="en-GB"/>
              </w:rPr>
              <w:t>Municipalities, Local Communities</w:t>
            </w:r>
          </w:p>
        </w:tc>
      </w:tr>
      <w:tr w:rsidR="00AD3320" w:rsidRPr="000324FE" w14:paraId="442CA1B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E92ED18"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759E9BAA" w14:textId="77777777" w:rsidR="00AD3320" w:rsidRPr="009B5B67" w:rsidRDefault="00AD3320" w:rsidP="00AD3320">
            <w:pPr>
              <w:spacing w:after="0"/>
              <w:rPr>
                <w:rFonts w:cs="Arial"/>
                <w:szCs w:val="20"/>
                <w:lang w:val="en-GB"/>
              </w:rPr>
            </w:pPr>
            <w:r w:rsidRPr="009B5B67">
              <w:rPr>
                <w:rFonts w:cs="Arial"/>
                <w:szCs w:val="20"/>
                <w:lang w:val="en-GB"/>
              </w:rPr>
              <w:t>Preparatory costs (start-off): 1.5 Mio. EUR</w:t>
            </w:r>
          </w:p>
          <w:p w14:paraId="60C6C2D0" w14:textId="77777777" w:rsidR="00AD3320" w:rsidRPr="009B5B67" w:rsidRDefault="00AD3320" w:rsidP="00AD3320">
            <w:pPr>
              <w:spacing w:after="0"/>
              <w:rPr>
                <w:rFonts w:cs="Arial"/>
                <w:szCs w:val="20"/>
                <w:lang w:val="en-GB"/>
              </w:rPr>
            </w:pPr>
            <w:r w:rsidRPr="009B5B67">
              <w:rPr>
                <w:rFonts w:cs="Arial"/>
                <w:szCs w:val="20"/>
                <w:lang w:val="en-GB"/>
              </w:rPr>
              <w:t xml:space="preserve">The additional investment costs for investors: 115.2 Mio EUR, </w:t>
            </w:r>
          </w:p>
        </w:tc>
      </w:tr>
      <w:tr w:rsidR="00AD3320" w:rsidRPr="000324FE" w14:paraId="2B00AD8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F44E8DB"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11A611AC" w14:textId="77777777" w:rsidR="00AD3320" w:rsidRPr="009B5B67" w:rsidRDefault="00AD3320" w:rsidP="00AD3320">
            <w:pPr>
              <w:spacing w:after="0"/>
              <w:rPr>
                <w:rFonts w:cs="Arial"/>
                <w:szCs w:val="20"/>
                <w:lang w:val="en-GB"/>
              </w:rPr>
            </w:pPr>
            <w:r w:rsidRPr="009B5B67">
              <w:rPr>
                <w:rFonts w:cs="Arial"/>
                <w:szCs w:val="20"/>
                <w:lang w:val="en-GB"/>
              </w:rPr>
              <w:t xml:space="preserve">Improve Air quality, health benefits </w:t>
            </w:r>
          </w:p>
        </w:tc>
      </w:tr>
      <w:tr w:rsidR="00AD3320" w:rsidRPr="000324FE" w14:paraId="769E403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40EF1A8"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5C59A866" w14:textId="77777777" w:rsidR="00AD3320" w:rsidRPr="009B5B67" w:rsidRDefault="00AD3320" w:rsidP="00AD3320">
            <w:pPr>
              <w:spacing w:after="0"/>
              <w:rPr>
                <w:rFonts w:cs="Arial"/>
                <w:szCs w:val="20"/>
                <w:lang w:val="en-GB"/>
              </w:rPr>
            </w:pPr>
            <w:r w:rsidRPr="009B5B67">
              <w:rPr>
                <w:rFonts w:cs="Arial"/>
                <w:szCs w:val="20"/>
                <w:lang w:val="en-GB"/>
              </w:rPr>
              <w:t xml:space="preserve">Realization of the </w:t>
            </w:r>
            <w:r w:rsidRPr="009B5B67">
              <w:rPr>
                <w:rFonts w:cs="Arial"/>
                <w:szCs w:val="20"/>
                <w:lang w:val="en-GB"/>
              </w:rPr>
              <w:fldChar w:fldCharType="begin"/>
            </w:r>
            <w:r w:rsidRPr="009B5B67">
              <w:rPr>
                <w:rFonts w:cs="Arial"/>
                <w:szCs w:val="20"/>
                <w:lang w:val="en-GB"/>
              </w:rPr>
              <w:instrText xml:space="preserve"> REF _Ref37867731 \h  \* MERGEFORMAT </w:instrText>
            </w:r>
            <w:r w:rsidRPr="009B5B67">
              <w:rPr>
                <w:rFonts w:cs="Arial"/>
                <w:szCs w:val="20"/>
                <w:lang w:val="en-GB"/>
              </w:rPr>
            </w:r>
            <w:r w:rsidRPr="009B5B67">
              <w:rPr>
                <w:rFonts w:cs="Arial"/>
                <w:szCs w:val="20"/>
                <w:lang w:val="en-GB"/>
              </w:rPr>
              <w:fldChar w:fldCharType="separate"/>
            </w:r>
            <w:r w:rsidRPr="009B5B67">
              <w:rPr>
                <w:rFonts w:cs="Arial"/>
                <w:szCs w:val="20"/>
                <w:lang w:val="en-GB"/>
              </w:rPr>
              <w:t>Mitigation action 1</w:t>
            </w:r>
            <w:r w:rsidRPr="009B5B67">
              <w:rPr>
                <w:rFonts w:cs="Arial"/>
                <w:szCs w:val="20"/>
                <w:lang w:val="en-GB"/>
              </w:rPr>
              <w:fldChar w:fldCharType="end"/>
            </w:r>
            <w:r w:rsidRPr="009B5B67">
              <w:rPr>
                <w:rFonts w:cs="Arial"/>
                <w:szCs w:val="20"/>
                <w:lang w:val="en-GB"/>
              </w:rPr>
              <w:t xml:space="preserve"> is going to support achievement of goals of this action</w:t>
            </w:r>
          </w:p>
        </w:tc>
      </w:tr>
      <w:tr w:rsidR="00AD3320" w:rsidRPr="009B5B67" w14:paraId="7B7E23B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013A002"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7BEE2E96" w14:textId="77777777" w:rsidR="00AD3320" w:rsidRPr="009B5B67" w:rsidRDefault="00AD3320" w:rsidP="00AD3320">
            <w:pPr>
              <w:spacing w:after="0"/>
              <w:rPr>
                <w:rFonts w:cs="Arial"/>
                <w:szCs w:val="20"/>
                <w:lang w:val="en-GB"/>
              </w:rPr>
            </w:pPr>
            <w:r w:rsidRPr="009B5B67">
              <w:rPr>
                <w:rFonts w:cs="Arial"/>
                <w:szCs w:val="20"/>
                <w:lang w:val="en-GB"/>
              </w:rPr>
              <w:t xml:space="preserve"> Included in Mitigation measure 1 </w:t>
            </w:r>
          </w:p>
        </w:tc>
      </w:tr>
      <w:tr w:rsidR="00AD3320" w:rsidRPr="009B5B67" w14:paraId="7262BFA6"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12DA4DC"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3F1A635D"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0324FE" w14:paraId="519ACBF6"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15F2D7A"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4B6089FF" w14:textId="77777777" w:rsidR="00AD3320" w:rsidRPr="009B5B67" w:rsidRDefault="00AD3320" w:rsidP="00AD3320">
            <w:pPr>
              <w:spacing w:after="0"/>
              <w:rPr>
                <w:rFonts w:cs="Arial"/>
                <w:szCs w:val="20"/>
                <w:lang w:val="en-GB"/>
              </w:rPr>
            </w:pPr>
            <w:r w:rsidRPr="009B5B67">
              <w:rPr>
                <w:rFonts w:cs="Arial"/>
                <w:szCs w:val="20"/>
                <w:lang w:val="en-GB"/>
              </w:rPr>
              <w:t>Achievement will be yearly monitored, and corrective measures made in 2025, as necessary</w:t>
            </w:r>
          </w:p>
        </w:tc>
      </w:tr>
    </w:tbl>
    <w:p w14:paraId="3A8F6B6B" w14:textId="77777777" w:rsidR="00AD3320" w:rsidRPr="009B5B67" w:rsidRDefault="00AD3320" w:rsidP="00AD3320">
      <w:pPr>
        <w:spacing w:after="0"/>
        <w:rPr>
          <w:rFonts w:cs="Arial"/>
          <w:szCs w:val="20"/>
          <w:lang w:val="en-GB"/>
        </w:rPr>
      </w:pPr>
    </w:p>
    <w:tbl>
      <w:tblPr>
        <w:tblStyle w:val="TableGrid"/>
        <w:tblpPr w:leftFromText="180" w:rightFromText="180" w:vertAnchor="text" w:tblpY="1"/>
        <w:tblOverlap w:val="never"/>
        <w:tblW w:w="14029" w:type="dxa"/>
        <w:tblCellMar>
          <w:top w:w="57" w:type="dxa"/>
          <w:bottom w:w="57" w:type="dxa"/>
        </w:tblCellMar>
        <w:tblLook w:val="04A0" w:firstRow="1" w:lastRow="0" w:firstColumn="1" w:lastColumn="0" w:noHBand="0" w:noVBand="1"/>
      </w:tblPr>
      <w:tblGrid>
        <w:gridCol w:w="4531"/>
        <w:gridCol w:w="9498"/>
      </w:tblGrid>
      <w:tr w:rsidR="00AD3320" w:rsidRPr="000324FE" w14:paraId="1E15D570" w14:textId="77777777" w:rsidTr="00AD3320">
        <w:trPr>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B18B38D" w14:textId="49EC56C4" w:rsidR="00AD3320" w:rsidRPr="009B5B67" w:rsidRDefault="00AD3320" w:rsidP="00921736">
            <w:pPr>
              <w:pageBreakBefore/>
              <w:spacing w:after="0"/>
              <w:rPr>
                <w:rFonts w:cs="Arial"/>
                <w:b/>
                <w:bCs/>
                <w:szCs w:val="20"/>
                <w:lang w:val="en-GB"/>
              </w:rPr>
            </w:pPr>
            <w:r w:rsidRPr="009B5B67">
              <w:rPr>
                <w:rFonts w:cs="Arial"/>
                <w:b/>
                <w:bCs/>
                <w:szCs w:val="20"/>
                <w:lang w:val="en-GB"/>
              </w:rPr>
              <w:lastRenderedPageBreak/>
              <w:t xml:space="preserve">Mitigation action </w:t>
            </w:r>
            <w:r w:rsidR="00921736" w:rsidRPr="00CB0790">
              <w:rPr>
                <w:rFonts w:cs="Arial"/>
                <w:b/>
                <w:szCs w:val="20"/>
                <w:lang w:val="en-GB"/>
              </w:rPr>
              <w:fldChar w:fldCharType="begin"/>
            </w:r>
            <w:r w:rsidR="00921736" w:rsidRPr="00CB0790">
              <w:rPr>
                <w:rFonts w:cs="Arial"/>
                <w:b/>
                <w:szCs w:val="20"/>
                <w:lang w:val="en-GB"/>
              </w:rPr>
              <w:instrText xml:space="preserve"> SEQ Mitigation_action \* ARABIC </w:instrText>
            </w:r>
            <w:r w:rsidR="00921736" w:rsidRPr="00CB0790">
              <w:rPr>
                <w:rFonts w:cs="Arial"/>
                <w:b/>
                <w:szCs w:val="20"/>
                <w:lang w:val="en-GB"/>
              </w:rPr>
              <w:fldChar w:fldCharType="separate"/>
            </w:r>
            <w:r w:rsidR="00921736">
              <w:rPr>
                <w:rFonts w:cs="Arial"/>
                <w:b/>
                <w:noProof/>
                <w:szCs w:val="20"/>
                <w:lang w:val="en-GB"/>
              </w:rPr>
              <w:t>5</w:t>
            </w:r>
            <w:r w:rsidR="00921736"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DACED3B" w14:textId="77777777" w:rsidR="00AD3320" w:rsidRPr="009B5B67" w:rsidRDefault="00AD3320" w:rsidP="00AD3320">
            <w:pPr>
              <w:spacing w:after="0"/>
              <w:rPr>
                <w:rFonts w:cs="Arial"/>
                <w:b/>
                <w:bCs/>
                <w:szCs w:val="20"/>
                <w:lang w:val="en-GB"/>
              </w:rPr>
            </w:pPr>
            <w:r w:rsidRPr="009B5B67">
              <w:rPr>
                <w:rFonts w:cs="Arial"/>
                <w:b/>
                <w:bCs/>
                <w:szCs w:val="20"/>
                <w:lang w:val="en-GB"/>
              </w:rPr>
              <w:t>Increasing use of RES and energy efficiency in the industry</w:t>
            </w:r>
          </w:p>
        </w:tc>
      </w:tr>
      <w:tr w:rsidR="00AD3320" w:rsidRPr="009B5B67" w14:paraId="5DBD8D2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6A9FDD5"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027BAD8C" w14:textId="77777777" w:rsidR="00AD3320" w:rsidRPr="009B5B67" w:rsidRDefault="00AD3320" w:rsidP="00AD3320">
            <w:pPr>
              <w:spacing w:after="0"/>
              <w:rPr>
                <w:rFonts w:cs="Arial"/>
                <w:szCs w:val="20"/>
                <w:lang w:val="en-GB"/>
              </w:rPr>
            </w:pPr>
            <w:r w:rsidRPr="009B5B67">
              <w:rPr>
                <w:rFonts w:cs="Arial"/>
                <w:bCs/>
                <w:color w:val="000000"/>
                <w:szCs w:val="20"/>
                <w:lang w:val="en-GB"/>
              </w:rPr>
              <w:t xml:space="preserve">The industrial sector will have to promote and implement energy efficiency projects and employ Best Available Technology (BAT) to retain its competitive advantage. Also, use of RES has significant role in that </w:t>
            </w:r>
            <w:proofErr w:type="gramStart"/>
            <w:r w:rsidRPr="009B5B67">
              <w:rPr>
                <w:rFonts w:cs="Arial"/>
                <w:bCs/>
                <w:color w:val="000000"/>
                <w:szCs w:val="20"/>
                <w:lang w:val="en-GB"/>
              </w:rPr>
              <w:t>regard</w:t>
            </w:r>
            <w:proofErr w:type="gramEnd"/>
            <w:r w:rsidRPr="009B5B67">
              <w:rPr>
                <w:rFonts w:cs="Arial"/>
                <w:bCs/>
                <w:color w:val="000000"/>
                <w:szCs w:val="20"/>
                <w:lang w:val="en-GB"/>
              </w:rPr>
              <w:t xml:space="preserve"> and it shall be at the level of </w:t>
            </w:r>
            <w:r w:rsidRPr="009B5B67">
              <w:rPr>
                <w:rFonts w:cs="Arial"/>
                <w:szCs w:val="20"/>
                <w:lang w:val="en-GB"/>
              </w:rPr>
              <w:t xml:space="preserve">282 </w:t>
            </w:r>
            <w:proofErr w:type="spellStart"/>
            <w:r w:rsidRPr="009B5B67">
              <w:rPr>
                <w:rFonts w:cs="Arial"/>
                <w:szCs w:val="20"/>
                <w:lang w:val="en-GB"/>
              </w:rPr>
              <w:t>ktoe</w:t>
            </w:r>
            <w:proofErr w:type="spellEnd"/>
            <w:r w:rsidRPr="009B5B67">
              <w:rPr>
                <w:rFonts w:cs="Arial"/>
                <w:szCs w:val="20"/>
                <w:lang w:val="en-GB"/>
              </w:rPr>
              <w:t xml:space="preserve"> in 2030</w:t>
            </w:r>
            <w:r w:rsidRPr="009B5B67">
              <w:rPr>
                <w:rFonts w:cs="Arial"/>
                <w:bCs/>
                <w:color w:val="000000"/>
                <w:szCs w:val="20"/>
                <w:lang w:val="en-GB"/>
              </w:rPr>
              <w:t xml:space="preserve"> (</w:t>
            </w:r>
            <w:r w:rsidRPr="009B5B67">
              <w:rPr>
                <w:rFonts w:cs="Arial"/>
                <w:szCs w:val="20"/>
                <w:lang w:val="en-GB"/>
              </w:rPr>
              <w:t xml:space="preserve">126 </w:t>
            </w:r>
            <w:proofErr w:type="spellStart"/>
            <w:r w:rsidRPr="009B5B67">
              <w:rPr>
                <w:rFonts w:cs="Arial"/>
                <w:szCs w:val="20"/>
                <w:lang w:val="en-GB"/>
              </w:rPr>
              <w:t>ktoe</w:t>
            </w:r>
            <w:proofErr w:type="spellEnd"/>
            <w:r w:rsidRPr="009B5B67">
              <w:rPr>
                <w:rFonts w:cs="Arial"/>
                <w:szCs w:val="20"/>
                <w:lang w:val="en-GB"/>
              </w:rPr>
              <w:t xml:space="preserve"> in 2015). Subsidies shall be introduced to support such improvements.</w:t>
            </w:r>
          </w:p>
        </w:tc>
      </w:tr>
      <w:tr w:rsidR="00AD3320" w:rsidRPr="009B5B67" w14:paraId="5530F86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BDDF5D4"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1D2CA7E0" w14:textId="77777777" w:rsidR="00AD3320" w:rsidRPr="009B5B67" w:rsidRDefault="00AD3320" w:rsidP="00AD3320">
            <w:pPr>
              <w:spacing w:after="0"/>
              <w:rPr>
                <w:rFonts w:cs="Arial"/>
                <w:szCs w:val="20"/>
                <w:lang w:val="en-GB"/>
              </w:rPr>
            </w:pPr>
            <w:r w:rsidRPr="009B5B67">
              <w:rPr>
                <w:rFonts w:cs="Arial"/>
                <w:szCs w:val="20"/>
                <w:lang w:val="en-GB"/>
              </w:rPr>
              <w:t xml:space="preserve">Reduce GHG emissions by 9.7% </w:t>
            </w:r>
          </w:p>
        </w:tc>
      </w:tr>
      <w:tr w:rsidR="00AD3320" w:rsidRPr="009B5B67" w14:paraId="1C2DF1F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2B60120"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2B55F893" w14:textId="77777777" w:rsidR="00AD3320" w:rsidRPr="009B5B67" w:rsidRDefault="00AD3320" w:rsidP="00AD3320">
            <w:pPr>
              <w:spacing w:after="0"/>
              <w:rPr>
                <w:rFonts w:cs="Arial"/>
                <w:szCs w:val="20"/>
                <w:lang w:val="en-GB"/>
              </w:rPr>
            </w:pPr>
            <w:r w:rsidRPr="009B5B67">
              <w:rPr>
                <w:rFonts w:cs="Arial"/>
                <w:szCs w:val="20"/>
                <w:lang w:val="en-GB"/>
              </w:rPr>
              <w:t>Regulatory, Incentive, Financial</w:t>
            </w:r>
          </w:p>
        </w:tc>
      </w:tr>
      <w:tr w:rsidR="00AD3320" w:rsidRPr="009B5B67" w14:paraId="63FB262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9A8BDBE"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4983E529"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9B5B67" w14:paraId="092BF05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4F32186"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6E59E17A" w14:textId="77777777" w:rsidR="00AD3320" w:rsidRPr="009B5B67" w:rsidRDefault="00AD3320" w:rsidP="00AD3320">
            <w:pPr>
              <w:spacing w:after="0"/>
              <w:rPr>
                <w:rFonts w:cs="Arial"/>
                <w:szCs w:val="20"/>
                <w:lang w:val="en-GB"/>
              </w:rPr>
            </w:pPr>
            <w:r w:rsidRPr="009B5B67">
              <w:rPr>
                <w:rFonts w:cs="Arial"/>
                <w:szCs w:val="20"/>
                <w:lang w:val="en-GB"/>
              </w:rPr>
              <w:t>Manufacturing industry</w:t>
            </w:r>
          </w:p>
        </w:tc>
      </w:tr>
      <w:tr w:rsidR="00AD3320" w:rsidRPr="009B5B67" w14:paraId="186F5DF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5AF3BF3"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5E9BC207"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 xml:space="preserve">2, </w:t>
            </w:r>
            <w:r w:rsidRPr="009B5B67">
              <w:rPr>
                <w:rFonts w:cs="Arial"/>
                <w:szCs w:val="20"/>
                <w:lang w:val="en-GB"/>
              </w:rPr>
              <w:t>CH</w:t>
            </w:r>
            <w:r w:rsidRPr="009B5B67">
              <w:rPr>
                <w:rFonts w:cs="Arial"/>
                <w:szCs w:val="20"/>
                <w:vertAlign w:val="subscript"/>
                <w:lang w:val="en-GB"/>
              </w:rPr>
              <w:t>4</w:t>
            </w:r>
            <w:r w:rsidRPr="009B5B67">
              <w:rPr>
                <w:rFonts w:cs="Arial"/>
                <w:szCs w:val="20"/>
                <w:lang w:val="en-GB"/>
              </w:rPr>
              <w:t>, N</w:t>
            </w:r>
            <w:r w:rsidRPr="009B5B67">
              <w:rPr>
                <w:rFonts w:cs="Arial"/>
                <w:szCs w:val="20"/>
                <w:vertAlign w:val="subscript"/>
                <w:lang w:val="en-GB"/>
              </w:rPr>
              <w:t>2</w:t>
            </w:r>
            <w:r w:rsidRPr="009B5B67">
              <w:rPr>
                <w:rFonts w:cs="Arial"/>
                <w:szCs w:val="20"/>
                <w:lang w:val="en-GB"/>
              </w:rPr>
              <w:t>O</w:t>
            </w:r>
          </w:p>
        </w:tc>
      </w:tr>
      <w:tr w:rsidR="00AD3320" w:rsidRPr="009B5B67" w14:paraId="72E2A706"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375656A"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49C05751" w14:textId="77777777" w:rsidR="00AD3320" w:rsidRPr="009B5B67" w:rsidRDefault="00AD3320" w:rsidP="00AD3320">
            <w:pPr>
              <w:spacing w:after="0"/>
              <w:rPr>
                <w:rFonts w:cs="Arial"/>
                <w:szCs w:val="20"/>
                <w:lang w:val="en-GB"/>
              </w:rPr>
            </w:pPr>
            <w:r w:rsidRPr="009B5B67">
              <w:rPr>
                <w:rFonts w:cs="Arial"/>
                <w:szCs w:val="20"/>
                <w:lang w:val="en-GB"/>
              </w:rPr>
              <w:t>2021</w:t>
            </w:r>
          </w:p>
        </w:tc>
      </w:tr>
      <w:tr w:rsidR="00AD3320" w:rsidRPr="000324FE" w14:paraId="5557ECD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C2E80E5"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19BE2113" w14:textId="64AA11EB" w:rsidR="00921736" w:rsidRPr="00921736" w:rsidRDefault="00921736" w:rsidP="00921736">
            <w:pPr>
              <w:spacing w:after="0"/>
              <w:rPr>
                <w:rFonts w:cs="Arial"/>
                <w:strike/>
                <w:szCs w:val="20"/>
                <w:lang w:val="en-GB"/>
              </w:rPr>
            </w:pPr>
            <w:r w:rsidRPr="00921736">
              <w:rPr>
                <w:rFonts w:cs="Arial"/>
                <w:szCs w:val="20"/>
                <w:lang w:val="en-GB"/>
              </w:rPr>
              <w:t>Ministry of Mining and Energy</w:t>
            </w:r>
          </w:p>
          <w:p w14:paraId="2E07A0AF" w14:textId="77777777" w:rsidR="00921736" w:rsidRPr="00921736" w:rsidRDefault="00921736" w:rsidP="00921736">
            <w:pPr>
              <w:spacing w:after="0"/>
              <w:rPr>
                <w:szCs w:val="18"/>
                <w:lang w:val="en-GB"/>
              </w:rPr>
            </w:pPr>
            <w:r w:rsidRPr="00921736">
              <w:rPr>
                <w:szCs w:val="18"/>
                <w:lang w:val="en-GB"/>
              </w:rPr>
              <w:t>Ministry of Economy,</w:t>
            </w:r>
          </w:p>
          <w:p w14:paraId="1F13CACD" w14:textId="75AC17B0" w:rsidR="00AD3320" w:rsidRPr="009B5B67" w:rsidRDefault="00921736" w:rsidP="00921736">
            <w:pPr>
              <w:spacing w:after="0"/>
              <w:rPr>
                <w:rFonts w:cs="Arial"/>
                <w:szCs w:val="20"/>
                <w:lang w:val="en-GB"/>
              </w:rPr>
            </w:pPr>
            <w:r w:rsidRPr="00921736">
              <w:rPr>
                <w:szCs w:val="18"/>
                <w:lang w:val="en-GB"/>
              </w:rPr>
              <w:t>Chamber of Commerce and Industry of Serbia</w:t>
            </w:r>
          </w:p>
        </w:tc>
      </w:tr>
      <w:tr w:rsidR="00AD3320" w:rsidRPr="000324FE" w14:paraId="4B9AD31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924FFAB"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0B7112A0" w14:textId="77777777" w:rsidR="00AD3320" w:rsidRPr="009B5B67" w:rsidRDefault="00AD3320" w:rsidP="00AD3320">
            <w:pPr>
              <w:spacing w:after="0"/>
              <w:rPr>
                <w:rFonts w:cs="Arial"/>
                <w:szCs w:val="20"/>
                <w:lang w:val="en-GB"/>
              </w:rPr>
            </w:pPr>
            <w:r w:rsidRPr="009B5B67">
              <w:rPr>
                <w:rFonts w:cs="Arial"/>
                <w:szCs w:val="20"/>
                <w:lang w:val="en-GB"/>
              </w:rPr>
              <w:t>Preparatory costs (start-off): 2.5 Mio.  EURO</w:t>
            </w:r>
          </w:p>
          <w:p w14:paraId="0BE42CE4" w14:textId="77777777" w:rsidR="00AD3320" w:rsidRPr="009B5B67" w:rsidRDefault="00AD3320" w:rsidP="00AD3320">
            <w:pPr>
              <w:spacing w:after="0"/>
              <w:rPr>
                <w:rFonts w:cs="Arial"/>
                <w:szCs w:val="20"/>
                <w:lang w:val="en-GB"/>
              </w:rPr>
            </w:pPr>
            <w:r w:rsidRPr="009B5B67">
              <w:rPr>
                <w:rFonts w:cs="Arial"/>
                <w:szCs w:val="20"/>
                <w:lang w:val="en-GB"/>
              </w:rPr>
              <w:t xml:space="preserve">The additional investment costs for investors: 694.2 Mio EUR </w:t>
            </w:r>
          </w:p>
        </w:tc>
      </w:tr>
      <w:tr w:rsidR="00AD3320" w:rsidRPr="000324FE" w14:paraId="4A0FAB2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DA1C06D"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115FD49E" w14:textId="77777777" w:rsidR="00AD3320" w:rsidRPr="009B5B67" w:rsidRDefault="00AD3320" w:rsidP="00AD3320">
            <w:pPr>
              <w:spacing w:after="0"/>
              <w:rPr>
                <w:rFonts w:cs="Arial"/>
                <w:szCs w:val="20"/>
                <w:lang w:val="en-GB"/>
              </w:rPr>
            </w:pPr>
            <w:r w:rsidRPr="009B5B67">
              <w:rPr>
                <w:rFonts w:cs="Arial"/>
                <w:szCs w:val="20"/>
                <w:lang w:val="en-GB"/>
              </w:rPr>
              <w:t xml:space="preserve">Improve of air quality </w:t>
            </w:r>
          </w:p>
          <w:p w14:paraId="246C5BA9" w14:textId="77777777" w:rsidR="00AD3320" w:rsidRPr="009B5B67" w:rsidRDefault="00AD3320" w:rsidP="00AD3320">
            <w:pPr>
              <w:spacing w:after="0"/>
              <w:rPr>
                <w:rFonts w:cs="Arial"/>
                <w:szCs w:val="20"/>
                <w:lang w:val="en-GB"/>
              </w:rPr>
            </w:pPr>
            <w:r w:rsidRPr="009B5B67">
              <w:rPr>
                <w:rFonts w:cs="Arial"/>
                <w:szCs w:val="20"/>
                <w:lang w:val="en-GB"/>
              </w:rPr>
              <w:t xml:space="preserve">Attract use of cleaner technologies </w:t>
            </w:r>
          </w:p>
          <w:p w14:paraId="6C0526F4" w14:textId="77777777" w:rsidR="00AD3320" w:rsidRPr="009B5B67" w:rsidRDefault="00AD3320" w:rsidP="00AD3320">
            <w:pPr>
              <w:spacing w:after="0"/>
              <w:rPr>
                <w:rFonts w:cs="Arial"/>
                <w:szCs w:val="20"/>
                <w:lang w:val="en-GB"/>
              </w:rPr>
            </w:pPr>
            <w:r w:rsidRPr="009B5B67">
              <w:rPr>
                <w:rFonts w:cs="Arial"/>
                <w:szCs w:val="20"/>
                <w:lang w:val="en-GB"/>
              </w:rPr>
              <w:t>Improve work conditions</w:t>
            </w:r>
          </w:p>
          <w:p w14:paraId="1CB44033" w14:textId="77777777" w:rsidR="00AD3320" w:rsidRPr="009B5B67" w:rsidRDefault="00AD3320" w:rsidP="00AD3320">
            <w:pPr>
              <w:spacing w:after="0"/>
              <w:rPr>
                <w:rFonts w:cs="Arial"/>
                <w:szCs w:val="20"/>
                <w:lang w:val="en-GB"/>
              </w:rPr>
            </w:pPr>
            <w:r w:rsidRPr="009B5B67">
              <w:rPr>
                <w:rFonts w:cs="Arial"/>
                <w:szCs w:val="20"/>
                <w:lang w:val="en-GB"/>
              </w:rPr>
              <w:t>Reduce utility bills</w:t>
            </w:r>
          </w:p>
        </w:tc>
      </w:tr>
      <w:tr w:rsidR="00AD3320" w:rsidRPr="000324FE" w14:paraId="185F2F8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6270EED"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337486AB" w14:textId="77777777" w:rsidR="00AD3320" w:rsidRPr="009B5B67" w:rsidRDefault="00AD3320" w:rsidP="00AD3320">
            <w:pPr>
              <w:spacing w:after="0"/>
              <w:rPr>
                <w:rFonts w:cs="Arial"/>
                <w:szCs w:val="20"/>
                <w:lang w:val="en-GB"/>
              </w:rPr>
            </w:pPr>
            <w:r w:rsidRPr="009B5B67">
              <w:rPr>
                <w:rFonts w:cs="Arial"/>
                <w:szCs w:val="20"/>
                <w:lang w:val="en-GB"/>
              </w:rPr>
              <w:t xml:space="preserve">This measure is part of the other regulatory measures such as penetration best available technology (BAT) to retain its competitive advantage and indirectly benefit from carbon taxation introduced through </w:t>
            </w:r>
            <w:r w:rsidRPr="009B5B67">
              <w:rPr>
                <w:rFonts w:cs="Arial"/>
                <w:szCs w:val="20"/>
                <w:lang w:val="en-GB"/>
              </w:rPr>
              <w:fldChar w:fldCharType="begin"/>
            </w:r>
            <w:r w:rsidRPr="009B5B67">
              <w:rPr>
                <w:rFonts w:cs="Arial"/>
                <w:szCs w:val="20"/>
                <w:lang w:val="en-GB"/>
              </w:rPr>
              <w:instrText xml:space="preserve"> REF _Ref37867731 \h  \* MERGEFORMAT </w:instrText>
            </w:r>
            <w:r w:rsidRPr="009B5B67">
              <w:rPr>
                <w:rFonts w:cs="Arial"/>
                <w:szCs w:val="20"/>
                <w:lang w:val="en-GB"/>
              </w:rPr>
            </w:r>
            <w:r w:rsidRPr="009B5B67">
              <w:rPr>
                <w:rFonts w:cs="Arial"/>
                <w:szCs w:val="20"/>
                <w:lang w:val="en-GB"/>
              </w:rPr>
              <w:fldChar w:fldCharType="separate"/>
            </w:r>
            <w:r w:rsidRPr="009B5B67">
              <w:rPr>
                <w:rFonts w:cs="Arial"/>
                <w:szCs w:val="20"/>
                <w:lang w:val="en-GB"/>
              </w:rPr>
              <w:t>Mitigation action 1</w:t>
            </w:r>
            <w:r w:rsidRPr="009B5B67">
              <w:rPr>
                <w:rFonts w:cs="Arial"/>
                <w:szCs w:val="20"/>
                <w:lang w:val="en-GB"/>
              </w:rPr>
              <w:fldChar w:fldCharType="end"/>
            </w:r>
          </w:p>
        </w:tc>
      </w:tr>
      <w:tr w:rsidR="00AD3320" w:rsidRPr="009B5B67" w14:paraId="6C1ED7E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6AF2CFB"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595D51FA" w14:textId="77777777" w:rsidR="00AD3320" w:rsidRPr="009B5B67" w:rsidRDefault="00AD3320" w:rsidP="00AD3320">
            <w:pPr>
              <w:spacing w:after="0"/>
              <w:rPr>
                <w:rFonts w:cs="Arial"/>
                <w:szCs w:val="20"/>
                <w:lang w:val="en-GB"/>
              </w:rPr>
            </w:pPr>
            <w:r w:rsidRPr="009B5B67">
              <w:rPr>
                <w:rFonts w:cs="Arial"/>
                <w:szCs w:val="20"/>
                <w:lang w:val="en-GB"/>
              </w:rPr>
              <w:t>715 ktCO</w:t>
            </w:r>
            <w:r w:rsidRPr="009B5B67">
              <w:rPr>
                <w:rFonts w:cs="Arial"/>
                <w:szCs w:val="20"/>
                <w:vertAlign w:val="subscript"/>
                <w:lang w:val="en-GB"/>
              </w:rPr>
              <w:t xml:space="preserve">2 </w:t>
            </w:r>
            <w:r w:rsidRPr="009B5B67">
              <w:rPr>
                <w:rFonts w:cs="Arial"/>
                <w:szCs w:val="20"/>
                <w:lang w:val="en-GB"/>
              </w:rPr>
              <w:t>in 2030</w:t>
            </w:r>
          </w:p>
        </w:tc>
      </w:tr>
      <w:tr w:rsidR="00AD3320" w:rsidRPr="009B5B67" w14:paraId="37939EF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64CE0CD"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7E59014B"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0324FE" w14:paraId="21AB4DE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54577C4"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4510697A" w14:textId="77777777" w:rsidR="00AD3320" w:rsidRPr="009B5B67" w:rsidRDefault="00AD3320" w:rsidP="00AD3320">
            <w:pPr>
              <w:spacing w:after="0"/>
              <w:rPr>
                <w:rFonts w:cs="Arial"/>
                <w:szCs w:val="20"/>
                <w:lang w:val="en-GB"/>
              </w:rPr>
            </w:pPr>
            <w:r w:rsidRPr="009B5B67">
              <w:rPr>
                <w:rFonts w:cs="Arial"/>
                <w:szCs w:val="20"/>
                <w:lang w:val="en-GB"/>
              </w:rPr>
              <w:t xml:space="preserve">Achievement will be yearly </w:t>
            </w:r>
            <w:proofErr w:type="gramStart"/>
            <w:r w:rsidRPr="009B5B67">
              <w:rPr>
                <w:rFonts w:cs="Arial"/>
                <w:szCs w:val="20"/>
                <w:lang w:val="en-GB"/>
              </w:rPr>
              <w:t>monitored</w:t>
            </w:r>
            <w:proofErr w:type="gramEnd"/>
            <w:r w:rsidRPr="009B5B67">
              <w:rPr>
                <w:rFonts w:cs="Arial"/>
                <w:szCs w:val="20"/>
                <w:lang w:val="en-GB"/>
              </w:rPr>
              <w:t xml:space="preserve"> and corrective measures made in 2025, as necessary</w:t>
            </w:r>
          </w:p>
        </w:tc>
      </w:tr>
    </w:tbl>
    <w:p w14:paraId="43D875ED" w14:textId="77777777" w:rsidR="00AD3320" w:rsidRPr="009B5B67"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2CF69D62" w14:textId="77777777" w:rsidTr="00AD3320">
        <w:trPr>
          <w:trHeight w:val="429"/>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230EB39" w14:textId="1091F676" w:rsidR="00AD3320" w:rsidRPr="009B5B67" w:rsidRDefault="00AD3320" w:rsidP="00921736">
            <w:pPr>
              <w:spacing w:after="0"/>
              <w:rPr>
                <w:rFonts w:cs="Arial"/>
                <w:b/>
                <w:bCs/>
                <w:szCs w:val="20"/>
                <w:lang w:val="en-GB"/>
              </w:rPr>
            </w:pPr>
            <w:r w:rsidRPr="009B5B67">
              <w:rPr>
                <w:rFonts w:cs="Arial"/>
                <w:b/>
                <w:bCs/>
                <w:szCs w:val="20"/>
                <w:lang w:val="en-GB"/>
              </w:rPr>
              <w:t xml:space="preserve">Mitigation action </w:t>
            </w:r>
            <w:r w:rsidR="00921736" w:rsidRPr="00CB0790">
              <w:rPr>
                <w:rFonts w:cs="Arial"/>
                <w:b/>
                <w:szCs w:val="20"/>
                <w:lang w:val="en-GB"/>
              </w:rPr>
              <w:fldChar w:fldCharType="begin"/>
            </w:r>
            <w:r w:rsidR="00921736" w:rsidRPr="00CB0790">
              <w:rPr>
                <w:rFonts w:cs="Arial"/>
                <w:b/>
                <w:szCs w:val="20"/>
                <w:lang w:val="en-GB"/>
              </w:rPr>
              <w:instrText xml:space="preserve"> SEQ Mitigation_action \* ARABIC </w:instrText>
            </w:r>
            <w:r w:rsidR="00921736" w:rsidRPr="00CB0790">
              <w:rPr>
                <w:rFonts w:cs="Arial"/>
                <w:b/>
                <w:szCs w:val="20"/>
                <w:lang w:val="en-GB"/>
              </w:rPr>
              <w:fldChar w:fldCharType="separate"/>
            </w:r>
            <w:r w:rsidR="00921736">
              <w:rPr>
                <w:rFonts w:cs="Arial"/>
                <w:b/>
                <w:noProof/>
                <w:szCs w:val="20"/>
                <w:lang w:val="en-GB"/>
              </w:rPr>
              <w:t>6</w:t>
            </w:r>
            <w:r w:rsidR="00921736"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BCD9A7" w14:textId="77777777" w:rsidR="00AD3320" w:rsidRPr="009B5B67" w:rsidRDefault="00AD3320" w:rsidP="00AD3320">
            <w:pPr>
              <w:spacing w:after="0"/>
              <w:rPr>
                <w:rFonts w:cs="Arial"/>
                <w:b/>
                <w:bCs/>
                <w:szCs w:val="20"/>
                <w:lang w:val="en-GB"/>
              </w:rPr>
            </w:pPr>
            <w:r w:rsidRPr="009B5B67">
              <w:rPr>
                <w:rFonts w:cs="Arial"/>
                <w:b/>
                <w:bCs/>
                <w:szCs w:val="20"/>
                <w:lang w:val="en-GB"/>
              </w:rPr>
              <w:t>Improving thermal integrity of households</w:t>
            </w:r>
          </w:p>
        </w:tc>
      </w:tr>
      <w:tr w:rsidR="00AD3320" w:rsidRPr="000324FE" w14:paraId="00F575D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C00778B"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08F6D927" w14:textId="77777777" w:rsidR="00AD3320" w:rsidRPr="009B5B67" w:rsidRDefault="00AD3320" w:rsidP="00AD3320">
            <w:pPr>
              <w:spacing w:after="0"/>
              <w:rPr>
                <w:rFonts w:cs="Arial"/>
                <w:szCs w:val="20"/>
                <w:lang w:val="en-GB"/>
              </w:rPr>
            </w:pPr>
            <w:r w:rsidRPr="009B5B67">
              <w:rPr>
                <w:rFonts w:cs="Arial"/>
                <w:szCs w:val="20"/>
                <w:lang w:val="en-GB"/>
              </w:rPr>
              <w:t>There is an estimate that 85% of current buildings do not fulfil minimum energy efficiency requirements. Increase of EE in households shall contribute to achievement of energy consumption, excluding electricity, of 81 kWh/m</w:t>
            </w:r>
            <w:r w:rsidRPr="009B5B67">
              <w:rPr>
                <w:rFonts w:cs="Arial"/>
                <w:szCs w:val="20"/>
                <w:vertAlign w:val="superscript"/>
                <w:lang w:val="en-GB"/>
              </w:rPr>
              <w:t>2</w:t>
            </w:r>
            <w:r w:rsidRPr="009B5B67">
              <w:rPr>
                <w:rFonts w:cs="Arial"/>
                <w:szCs w:val="20"/>
                <w:lang w:val="en-GB"/>
              </w:rPr>
              <w:t xml:space="preserve"> (in 2015 it was 90 kWh/m2) per m</w:t>
            </w:r>
            <w:r w:rsidRPr="009B5B67">
              <w:rPr>
                <w:rFonts w:cs="Arial"/>
                <w:szCs w:val="20"/>
                <w:vertAlign w:val="superscript"/>
                <w:lang w:val="en-GB"/>
              </w:rPr>
              <w:t>2</w:t>
            </w:r>
            <w:r w:rsidRPr="009B5B67">
              <w:rPr>
                <w:rFonts w:cs="Arial"/>
                <w:szCs w:val="20"/>
                <w:lang w:val="en-GB"/>
              </w:rPr>
              <w:t xml:space="preserve"> of housing stock in 2030, </w:t>
            </w:r>
            <w:proofErr w:type="gramStart"/>
            <w:r w:rsidRPr="009B5B67">
              <w:rPr>
                <w:rFonts w:cs="Arial"/>
                <w:szCs w:val="20"/>
                <w:lang w:val="en-GB"/>
              </w:rPr>
              <w:t>In order to</w:t>
            </w:r>
            <w:proofErr w:type="gramEnd"/>
            <w:r w:rsidRPr="009B5B67">
              <w:rPr>
                <w:rFonts w:cs="Arial"/>
                <w:szCs w:val="20"/>
                <w:lang w:val="en-GB"/>
              </w:rPr>
              <w:t xml:space="preserve"> reduce the GHG emissions but also to directly contribute to improvement of a quality of life of Serbian inhabitants, financial support shall be ensured through Energy </w:t>
            </w:r>
            <w:proofErr w:type="spellStart"/>
            <w:r w:rsidRPr="009B5B67">
              <w:rPr>
                <w:rFonts w:cs="Arial"/>
                <w:szCs w:val="20"/>
                <w:lang w:val="en-GB"/>
              </w:rPr>
              <w:t>Energy</w:t>
            </w:r>
            <w:proofErr w:type="spellEnd"/>
            <w:r w:rsidRPr="009B5B67">
              <w:rPr>
                <w:rFonts w:cs="Arial"/>
                <w:szCs w:val="20"/>
                <w:lang w:val="en-GB"/>
              </w:rPr>
              <w:t xml:space="preserve"> Efficiency fund.</w:t>
            </w:r>
          </w:p>
        </w:tc>
      </w:tr>
      <w:tr w:rsidR="00AD3320" w:rsidRPr="009B5B67" w14:paraId="17D4BBA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3B6E703"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7AC94E7B" w14:textId="77777777" w:rsidR="00AD3320" w:rsidRPr="009B5B67" w:rsidRDefault="00AD3320" w:rsidP="00AD3320">
            <w:pPr>
              <w:spacing w:after="0"/>
              <w:rPr>
                <w:rFonts w:cs="Arial"/>
                <w:szCs w:val="20"/>
                <w:lang w:val="en-GB"/>
              </w:rPr>
            </w:pPr>
            <w:r w:rsidRPr="009B5B67">
              <w:rPr>
                <w:rFonts w:cs="Arial"/>
                <w:szCs w:val="20"/>
                <w:lang w:val="en-GB"/>
              </w:rPr>
              <w:t xml:space="preserve">Reduce GHG emissions by 9.7% </w:t>
            </w:r>
          </w:p>
        </w:tc>
      </w:tr>
      <w:tr w:rsidR="00AD3320" w:rsidRPr="000324FE" w14:paraId="5C94E31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7307A0B"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79C6D98D" w14:textId="77777777" w:rsidR="00AD3320" w:rsidRPr="009B5B67" w:rsidRDefault="00AD3320" w:rsidP="00AD3320">
            <w:pPr>
              <w:spacing w:after="0"/>
              <w:rPr>
                <w:rFonts w:cs="Arial"/>
                <w:szCs w:val="20"/>
                <w:lang w:val="en-GB"/>
              </w:rPr>
            </w:pPr>
            <w:r w:rsidRPr="009B5B67">
              <w:rPr>
                <w:rFonts w:cs="Arial"/>
                <w:szCs w:val="20"/>
                <w:lang w:val="en-GB"/>
              </w:rPr>
              <w:t>Regulatory, Incentive, Financial, informational-educational; Organizational-governance-institutional</w:t>
            </w:r>
          </w:p>
        </w:tc>
      </w:tr>
      <w:tr w:rsidR="00AD3320" w:rsidRPr="009B5B67" w14:paraId="58CFC94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6D8E6B6"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5A17A989"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9B5B67" w14:paraId="5EB543F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66A9BB0"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32E38D6C" w14:textId="77777777" w:rsidR="00AD3320" w:rsidRPr="009B5B67" w:rsidRDefault="00AD3320" w:rsidP="00AD3320">
            <w:pPr>
              <w:spacing w:after="0"/>
              <w:rPr>
                <w:rFonts w:cs="Arial"/>
                <w:szCs w:val="20"/>
                <w:lang w:val="en-GB"/>
              </w:rPr>
            </w:pPr>
            <w:r w:rsidRPr="009B5B67">
              <w:rPr>
                <w:rFonts w:cs="Arial"/>
                <w:szCs w:val="20"/>
                <w:lang w:val="en-GB"/>
              </w:rPr>
              <w:t>Residential sector</w:t>
            </w:r>
          </w:p>
        </w:tc>
      </w:tr>
      <w:tr w:rsidR="00AD3320" w:rsidRPr="009B5B67" w14:paraId="7773333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AFC8157"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73FACC0E"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2</w:t>
            </w:r>
          </w:p>
        </w:tc>
      </w:tr>
      <w:tr w:rsidR="00AD3320" w:rsidRPr="009B5B67" w14:paraId="22FD9A2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97FAD41"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522650FB" w14:textId="77777777" w:rsidR="00AD3320" w:rsidRPr="009B5B67" w:rsidRDefault="00AD3320" w:rsidP="00AD3320">
            <w:pPr>
              <w:spacing w:after="0"/>
              <w:rPr>
                <w:rFonts w:cs="Arial"/>
                <w:szCs w:val="20"/>
                <w:lang w:val="en-GB"/>
              </w:rPr>
            </w:pPr>
            <w:r w:rsidRPr="009B5B67">
              <w:rPr>
                <w:rFonts w:cs="Arial"/>
                <w:szCs w:val="20"/>
                <w:lang w:val="en-GB"/>
              </w:rPr>
              <w:t>2021</w:t>
            </w:r>
          </w:p>
        </w:tc>
      </w:tr>
      <w:tr w:rsidR="00AD3320" w:rsidRPr="000324FE" w14:paraId="7193726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60EC1DF"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2F3078B5" w14:textId="076DB499" w:rsidR="00AD3320" w:rsidRPr="009B5B67" w:rsidRDefault="00921736" w:rsidP="00AD3320">
            <w:pPr>
              <w:spacing w:after="0"/>
              <w:rPr>
                <w:rFonts w:cs="Arial"/>
                <w:szCs w:val="20"/>
                <w:lang w:val="en-GB"/>
              </w:rPr>
            </w:pPr>
            <w:r w:rsidRPr="00921736">
              <w:rPr>
                <w:lang w:val="en-GB"/>
              </w:rPr>
              <w:t>Ministry of Construction, Transport and Infrastructure,</w:t>
            </w:r>
            <w:r w:rsidRPr="00921736">
              <w:rPr>
                <w:rFonts w:asciiTheme="minorHAnsi" w:hAnsiTheme="minorHAnsi" w:cstheme="minorHAnsi"/>
                <w:bCs/>
                <w:color w:val="000000"/>
                <w:lang w:val="en-GB"/>
              </w:rPr>
              <w:t xml:space="preserve"> </w:t>
            </w:r>
            <w:r w:rsidRPr="00921736">
              <w:rPr>
                <w:rFonts w:cs="Arial"/>
                <w:szCs w:val="20"/>
                <w:lang w:val="en-GB"/>
              </w:rPr>
              <w:t xml:space="preserve">Ministry of Mining and Energy, Chamber of </w:t>
            </w:r>
            <w:proofErr w:type="gramStart"/>
            <w:r w:rsidRPr="00921736">
              <w:rPr>
                <w:rFonts w:cs="Arial"/>
                <w:szCs w:val="20"/>
                <w:lang w:val="en-GB"/>
              </w:rPr>
              <w:t>Commerce</w:t>
            </w:r>
            <w:proofErr w:type="gramEnd"/>
            <w:r w:rsidRPr="00921736">
              <w:rPr>
                <w:rFonts w:cs="Arial"/>
                <w:szCs w:val="20"/>
                <w:lang w:val="en-GB"/>
              </w:rPr>
              <w:t xml:space="preserve"> and Industry of Serbia</w:t>
            </w:r>
          </w:p>
        </w:tc>
      </w:tr>
      <w:tr w:rsidR="00AD3320" w:rsidRPr="000324FE" w14:paraId="4FA1460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0997BB1"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tcPr>
          <w:p w14:paraId="5B2B02DA" w14:textId="77777777" w:rsidR="00AD3320" w:rsidRPr="009B5B67" w:rsidRDefault="00AD3320" w:rsidP="00AD3320">
            <w:pPr>
              <w:spacing w:after="0"/>
              <w:rPr>
                <w:rFonts w:cs="Arial"/>
                <w:szCs w:val="20"/>
                <w:lang w:val="en-GB"/>
              </w:rPr>
            </w:pPr>
            <w:r w:rsidRPr="009B5B67">
              <w:rPr>
                <w:rFonts w:cs="Arial"/>
                <w:szCs w:val="20"/>
                <w:lang w:val="en-GB"/>
              </w:rPr>
              <w:t>Preparatory (start-off): 3 Mio EUR, of which 2 Mio. EUR for establishing independent advice network for citizens.</w:t>
            </w:r>
          </w:p>
          <w:p w14:paraId="1C193EF6" w14:textId="77777777" w:rsidR="00AD3320" w:rsidRPr="009B5B67" w:rsidRDefault="00AD3320" w:rsidP="00AD3320">
            <w:pPr>
              <w:spacing w:after="0"/>
              <w:rPr>
                <w:rFonts w:cs="Arial"/>
                <w:szCs w:val="20"/>
                <w:lang w:val="en-GB"/>
              </w:rPr>
            </w:pPr>
            <w:r w:rsidRPr="009B5B67">
              <w:rPr>
                <w:rFonts w:cs="Arial"/>
                <w:szCs w:val="20"/>
                <w:lang w:val="en-GB"/>
              </w:rPr>
              <w:t>The additional investment costs for consumers: 1,730.1 Mio EUR</w:t>
            </w:r>
          </w:p>
          <w:p w14:paraId="0F912E13" w14:textId="77777777" w:rsidR="00AD3320" w:rsidRPr="009B5B67" w:rsidRDefault="00AD3320" w:rsidP="00AD3320">
            <w:pPr>
              <w:spacing w:after="0"/>
              <w:rPr>
                <w:rFonts w:cs="Arial"/>
                <w:szCs w:val="20"/>
                <w:lang w:val="en-GB"/>
              </w:rPr>
            </w:pPr>
          </w:p>
        </w:tc>
      </w:tr>
      <w:tr w:rsidR="00AD3320" w:rsidRPr="000324FE" w14:paraId="5E1F7FC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9092E92"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704C8CAD" w14:textId="77777777" w:rsidR="00AD3320" w:rsidRPr="009B5B67" w:rsidRDefault="00AD3320" w:rsidP="00AD3320">
            <w:pPr>
              <w:spacing w:after="0"/>
              <w:rPr>
                <w:rFonts w:cs="Arial"/>
                <w:szCs w:val="20"/>
                <w:lang w:val="en-GB"/>
              </w:rPr>
            </w:pPr>
            <w:r w:rsidRPr="009B5B67">
              <w:rPr>
                <w:rFonts w:cs="Arial"/>
                <w:szCs w:val="20"/>
                <w:lang w:val="en-GB"/>
              </w:rPr>
              <w:t>Improve air quality</w:t>
            </w:r>
          </w:p>
          <w:p w14:paraId="43BDA995" w14:textId="77777777" w:rsidR="00AD3320" w:rsidRPr="009B5B67" w:rsidRDefault="00AD3320" w:rsidP="00AD3320">
            <w:pPr>
              <w:spacing w:after="0"/>
              <w:rPr>
                <w:rFonts w:cs="Arial"/>
                <w:szCs w:val="20"/>
                <w:lang w:val="en-GB"/>
              </w:rPr>
            </w:pPr>
            <w:r w:rsidRPr="009B5B67">
              <w:rPr>
                <w:rFonts w:cs="Arial"/>
                <w:szCs w:val="20"/>
                <w:lang w:val="en-GB"/>
              </w:rPr>
              <w:t xml:space="preserve">Reduce utility bills </w:t>
            </w:r>
          </w:p>
        </w:tc>
      </w:tr>
      <w:tr w:rsidR="00AD3320" w:rsidRPr="000324FE" w14:paraId="4DB4A69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97626DF"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44BE2595" w14:textId="77777777" w:rsidR="00AD3320" w:rsidRPr="009B5B67" w:rsidRDefault="00AD3320" w:rsidP="00AD3320">
            <w:pPr>
              <w:spacing w:after="0"/>
              <w:rPr>
                <w:rFonts w:cs="Arial"/>
                <w:szCs w:val="20"/>
                <w:lang w:val="en-GB"/>
              </w:rPr>
            </w:pPr>
            <w:r w:rsidRPr="009B5B67">
              <w:rPr>
                <w:rFonts w:cs="Arial"/>
                <w:szCs w:val="20"/>
                <w:lang w:val="en-GB"/>
              </w:rPr>
              <w:t xml:space="preserve">Implementation of this measure is incremental for the reduction of costs associated with </w:t>
            </w:r>
            <w:r w:rsidRPr="009B5B67">
              <w:rPr>
                <w:rFonts w:cs="Arial"/>
                <w:szCs w:val="20"/>
                <w:lang w:val="en-GB"/>
              </w:rPr>
              <w:fldChar w:fldCharType="begin"/>
            </w:r>
            <w:r w:rsidRPr="009B5B67">
              <w:rPr>
                <w:rFonts w:cs="Arial"/>
                <w:szCs w:val="20"/>
                <w:lang w:val="en-GB"/>
              </w:rPr>
              <w:instrText xml:space="preserve"> REF _Ref37873681 \h  \* MERGEFORMAT </w:instrText>
            </w:r>
            <w:r w:rsidRPr="009B5B67">
              <w:rPr>
                <w:rFonts w:cs="Arial"/>
                <w:szCs w:val="20"/>
                <w:lang w:val="en-GB"/>
              </w:rPr>
            </w:r>
            <w:r w:rsidRPr="009B5B67">
              <w:rPr>
                <w:rFonts w:cs="Arial"/>
                <w:szCs w:val="20"/>
                <w:lang w:val="en-GB"/>
              </w:rPr>
              <w:fldChar w:fldCharType="separate"/>
            </w:r>
            <w:r w:rsidRPr="009B5B67">
              <w:rPr>
                <w:rFonts w:cs="Arial"/>
                <w:bCs/>
                <w:szCs w:val="20"/>
                <w:lang w:val="en-GB"/>
              </w:rPr>
              <w:t>Mitigation action 6</w:t>
            </w:r>
            <w:r w:rsidRPr="009B5B67">
              <w:rPr>
                <w:rFonts w:cs="Arial"/>
                <w:szCs w:val="20"/>
                <w:lang w:val="en-GB"/>
              </w:rPr>
              <w:fldChar w:fldCharType="end"/>
            </w:r>
          </w:p>
        </w:tc>
      </w:tr>
      <w:tr w:rsidR="00AD3320" w:rsidRPr="009B5B67" w14:paraId="6DB60B2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6689494"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1518A671" w14:textId="77777777" w:rsidR="00AD3320" w:rsidRPr="009B5B67" w:rsidRDefault="00AD3320" w:rsidP="00AD3320">
            <w:pPr>
              <w:spacing w:after="0"/>
              <w:rPr>
                <w:rFonts w:cs="Arial"/>
                <w:szCs w:val="20"/>
                <w:lang w:val="en-GB"/>
              </w:rPr>
            </w:pPr>
            <w:r w:rsidRPr="009B5B67">
              <w:rPr>
                <w:rFonts w:cs="Arial"/>
                <w:szCs w:val="20"/>
                <w:lang w:val="en-GB"/>
              </w:rPr>
              <w:t>220 kt CO</w:t>
            </w:r>
            <w:r w:rsidRPr="009B5B67">
              <w:rPr>
                <w:rFonts w:cs="Arial"/>
                <w:szCs w:val="20"/>
                <w:vertAlign w:val="subscript"/>
                <w:lang w:val="en-GB"/>
              </w:rPr>
              <w:t>2</w:t>
            </w:r>
            <w:r w:rsidRPr="009B5B67">
              <w:rPr>
                <w:rFonts w:cs="Arial"/>
                <w:szCs w:val="20"/>
                <w:lang w:val="en-GB"/>
              </w:rPr>
              <w:t xml:space="preserve"> </w:t>
            </w:r>
          </w:p>
        </w:tc>
      </w:tr>
      <w:tr w:rsidR="00AD3320" w:rsidRPr="009B5B67" w14:paraId="44BF7E2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BD5AECD"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4F9FE921"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77DBD3D5"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157EFAC" w14:textId="77777777" w:rsidR="00AD3320" w:rsidRPr="009B5B67" w:rsidRDefault="00AD3320" w:rsidP="00AD3320">
            <w:pPr>
              <w:spacing w:after="0"/>
              <w:rPr>
                <w:rFonts w:cs="Arial"/>
                <w:szCs w:val="20"/>
                <w:lang w:val="en-GB"/>
              </w:rPr>
            </w:pPr>
            <w:r w:rsidRPr="009B5B67">
              <w:rPr>
                <w:rFonts w:cs="Arial"/>
                <w:szCs w:val="20"/>
                <w:lang w:val="en-GB"/>
              </w:rPr>
              <w:lastRenderedPageBreak/>
              <w:t>Other year</w:t>
            </w:r>
          </w:p>
        </w:tc>
        <w:tc>
          <w:tcPr>
            <w:tcW w:w="9498" w:type="dxa"/>
            <w:tcBorders>
              <w:top w:val="single" w:sz="4" w:space="0" w:color="auto"/>
              <w:left w:val="single" w:sz="4" w:space="0" w:color="auto"/>
              <w:bottom w:val="single" w:sz="4" w:space="0" w:color="auto"/>
              <w:right w:val="single" w:sz="4" w:space="0" w:color="auto"/>
            </w:tcBorders>
            <w:hideMark/>
          </w:tcPr>
          <w:p w14:paraId="259247DE"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475A82F5" w14:textId="77777777" w:rsidR="00AD3320" w:rsidRPr="009B5B67"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0007CD13" w14:textId="77777777" w:rsidTr="00AD3320">
        <w:trPr>
          <w:trHeight w:val="691"/>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5EDAE0" w14:textId="67197DBF" w:rsidR="00AD3320" w:rsidRPr="009B5B67" w:rsidRDefault="00AD3320" w:rsidP="00921736">
            <w:pPr>
              <w:spacing w:after="0"/>
              <w:rPr>
                <w:rFonts w:cs="Arial"/>
                <w:b/>
                <w:bCs/>
                <w:szCs w:val="20"/>
                <w:lang w:val="en-GB"/>
              </w:rPr>
            </w:pPr>
            <w:r w:rsidRPr="009B5B67">
              <w:rPr>
                <w:rFonts w:cs="Arial"/>
                <w:b/>
                <w:bCs/>
                <w:szCs w:val="20"/>
                <w:lang w:val="en-GB"/>
              </w:rPr>
              <w:t xml:space="preserve">Mitigation action </w:t>
            </w:r>
            <w:r w:rsidR="00921736" w:rsidRPr="00CB0790">
              <w:rPr>
                <w:rFonts w:cs="Arial"/>
                <w:b/>
                <w:szCs w:val="20"/>
                <w:lang w:val="en-GB"/>
              </w:rPr>
              <w:fldChar w:fldCharType="begin"/>
            </w:r>
            <w:r w:rsidR="00921736" w:rsidRPr="00CB0790">
              <w:rPr>
                <w:rFonts w:cs="Arial"/>
                <w:b/>
                <w:szCs w:val="20"/>
                <w:lang w:val="en-GB"/>
              </w:rPr>
              <w:instrText xml:space="preserve"> SEQ Mitigation_action \* ARABIC </w:instrText>
            </w:r>
            <w:r w:rsidR="00921736" w:rsidRPr="00CB0790">
              <w:rPr>
                <w:rFonts w:cs="Arial"/>
                <w:b/>
                <w:szCs w:val="20"/>
                <w:lang w:val="en-GB"/>
              </w:rPr>
              <w:fldChar w:fldCharType="separate"/>
            </w:r>
            <w:r w:rsidR="00921736">
              <w:rPr>
                <w:rFonts w:cs="Arial"/>
                <w:b/>
                <w:noProof/>
                <w:szCs w:val="20"/>
                <w:lang w:val="en-GB"/>
              </w:rPr>
              <w:t>7</w:t>
            </w:r>
            <w:r w:rsidR="00921736"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FFFB677" w14:textId="77777777" w:rsidR="00AD3320" w:rsidRPr="009B5B67" w:rsidRDefault="00AD3320" w:rsidP="00AD3320">
            <w:pPr>
              <w:spacing w:after="0"/>
              <w:rPr>
                <w:rFonts w:cs="Arial"/>
                <w:b/>
                <w:bCs/>
                <w:szCs w:val="20"/>
                <w:lang w:val="en-GB"/>
              </w:rPr>
            </w:pPr>
            <w:r w:rsidRPr="009B5B67">
              <w:rPr>
                <w:rFonts w:cs="Arial"/>
                <w:b/>
                <w:bCs/>
                <w:szCs w:val="20"/>
                <w:lang w:val="en-GB"/>
              </w:rPr>
              <w:t>Energy efficiency, improvement of heating and cooling infrastructure and promotion of use of RES in households</w:t>
            </w:r>
          </w:p>
        </w:tc>
      </w:tr>
      <w:tr w:rsidR="00AD3320" w:rsidRPr="000324FE" w14:paraId="4C605A97"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652FD36"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78C8DA01" w14:textId="77777777" w:rsidR="00AD3320" w:rsidRPr="009B5B67" w:rsidRDefault="00AD3320" w:rsidP="00AD3320">
            <w:pPr>
              <w:spacing w:after="0"/>
              <w:rPr>
                <w:rFonts w:cs="Arial"/>
                <w:szCs w:val="20"/>
                <w:lang w:val="en-GB"/>
              </w:rPr>
            </w:pPr>
            <w:r w:rsidRPr="009B5B67">
              <w:rPr>
                <w:rFonts w:cs="Arial"/>
                <w:szCs w:val="20"/>
                <w:lang w:val="en-GB"/>
              </w:rPr>
              <w:t xml:space="preserve">A large share of single-family houses predominantly </w:t>
            </w:r>
            <w:proofErr w:type="gramStart"/>
            <w:r w:rsidRPr="009B5B67">
              <w:rPr>
                <w:rFonts w:cs="Arial"/>
                <w:szCs w:val="20"/>
                <w:lang w:val="en-GB"/>
              </w:rPr>
              <w:t>use</w:t>
            </w:r>
            <w:proofErr w:type="gramEnd"/>
            <w:r w:rsidRPr="009B5B67">
              <w:rPr>
                <w:rFonts w:cs="Arial"/>
                <w:szCs w:val="20"/>
                <w:lang w:val="en-GB"/>
              </w:rPr>
              <w:t xml:space="preserve"> old inefficient boilers on coal and wood biomass. Combustion causes high specific CO</w:t>
            </w:r>
            <w:r w:rsidRPr="009B5B67">
              <w:rPr>
                <w:rFonts w:cs="Arial"/>
                <w:szCs w:val="20"/>
                <w:vertAlign w:val="subscript"/>
                <w:lang w:val="en-GB"/>
              </w:rPr>
              <w:t>2</w:t>
            </w:r>
            <w:r w:rsidRPr="009B5B67">
              <w:rPr>
                <w:rFonts w:cs="Arial"/>
                <w:szCs w:val="20"/>
                <w:lang w:val="en-GB"/>
              </w:rPr>
              <w:t xml:space="preserve"> emissions. Coal and biomass use in inefficient boilers emits PM 2.5, which has adverse effects on health. More efficient boilers reduce fuel use, while decreasing emissions. It is assessed that up to 41,000 boilers and heat pumps could be supported with subsidies in the 2022-2030 period. This will result by decrease of average CO</w:t>
            </w:r>
            <w:r w:rsidRPr="009B5B67">
              <w:rPr>
                <w:rFonts w:cs="Arial"/>
                <w:szCs w:val="20"/>
                <w:vertAlign w:val="subscript"/>
                <w:lang w:val="en-GB"/>
              </w:rPr>
              <w:t>2</w:t>
            </w:r>
            <w:r w:rsidRPr="009B5B67">
              <w:rPr>
                <w:rFonts w:cs="Arial"/>
                <w:szCs w:val="20"/>
                <w:lang w:val="en-GB"/>
              </w:rPr>
              <w:t xml:space="preserve"> emissions per amount of fuel used in households, excluding electricity, to 11.3 tCO</w:t>
            </w:r>
            <w:r w:rsidRPr="009B5B67">
              <w:rPr>
                <w:rFonts w:cs="Arial"/>
                <w:szCs w:val="20"/>
                <w:vertAlign w:val="subscript"/>
                <w:lang w:val="en-GB"/>
              </w:rPr>
              <w:t>2</w:t>
            </w:r>
            <w:r w:rsidRPr="009B5B67">
              <w:rPr>
                <w:rFonts w:cs="Arial"/>
                <w:szCs w:val="20"/>
                <w:lang w:val="en-GB"/>
              </w:rPr>
              <w:t>/TJ</w:t>
            </w:r>
          </w:p>
        </w:tc>
      </w:tr>
      <w:tr w:rsidR="00AD3320" w:rsidRPr="009B5B67" w14:paraId="1A5C87B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7802102"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797F0E82" w14:textId="77777777" w:rsidR="00AD3320" w:rsidRPr="009B5B67" w:rsidRDefault="00AD3320" w:rsidP="00AD3320">
            <w:pPr>
              <w:spacing w:after="0"/>
              <w:rPr>
                <w:rFonts w:cs="Arial"/>
                <w:szCs w:val="20"/>
                <w:lang w:val="en-GB"/>
              </w:rPr>
            </w:pPr>
            <w:r w:rsidRPr="009B5B67">
              <w:rPr>
                <w:rFonts w:cs="Arial"/>
                <w:szCs w:val="20"/>
                <w:lang w:val="en-GB"/>
              </w:rPr>
              <w:t>Reduce GHG emissions by 9.7%</w:t>
            </w:r>
          </w:p>
        </w:tc>
      </w:tr>
      <w:tr w:rsidR="00AD3320" w:rsidRPr="000324FE" w14:paraId="72C9B247"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ACE4B85"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07340C54" w14:textId="77777777" w:rsidR="00AD3320" w:rsidRPr="009B5B67" w:rsidRDefault="00AD3320" w:rsidP="00AD3320">
            <w:pPr>
              <w:spacing w:after="0"/>
              <w:rPr>
                <w:rFonts w:cs="Arial"/>
                <w:szCs w:val="20"/>
                <w:lang w:val="en-GB"/>
              </w:rPr>
            </w:pPr>
            <w:r w:rsidRPr="009B5B67">
              <w:rPr>
                <w:rFonts w:cs="Arial"/>
                <w:szCs w:val="20"/>
                <w:lang w:val="en-GB"/>
              </w:rPr>
              <w:t>Regulatory, Incentive, Financial, informational-educational</w:t>
            </w:r>
          </w:p>
        </w:tc>
      </w:tr>
      <w:tr w:rsidR="00AD3320" w:rsidRPr="009B5B67" w14:paraId="730F0A8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EC93DBC"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49523D86" w14:textId="77777777" w:rsidR="00AD3320" w:rsidRPr="009B5B67" w:rsidRDefault="00AD3320" w:rsidP="00AD3320">
            <w:pPr>
              <w:spacing w:after="0"/>
              <w:rPr>
                <w:rFonts w:cs="Arial"/>
                <w:szCs w:val="20"/>
                <w:lang w:val="en-GB"/>
              </w:rPr>
            </w:pPr>
            <w:r w:rsidRPr="009B5B67">
              <w:rPr>
                <w:rFonts w:cs="Arial"/>
                <w:szCs w:val="20"/>
                <w:lang w:val="en-GB"/>
              </w:rPr>
              <w:t>Planned and partially adopted</w:t>
            </w:r>
          </w:p>
        </w:tc>
      </w:tr>
      <w:tr w:rsidR="00AD3320" w:rsidRPr="009B5B67" w14:paraId="43E845F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314D15D"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70B0A64A" w14:textId="77777777" w:rsidR="00AD3320" w:rsidRPr="009B5B67" w:rsidRDefault="00AD3320" w:rsidP="00AD3320">
            <w:pPr>
              <w:spacing w:after="0"/>
              <w:rPr>
                <w:rFonts w:cs="Arial"/>
                <w:szCs w:val="20"/>
                <w:lang w:val="en-GB"/>
              </w:rPr>
            </w:pPr>
            <w:r w:rsidRPr="009B5B67">
              <w:rPr>
                <w:rFonts w:cs="Arial"/>
                <w:szCs w:val="20"/>
                <w:lang w:val="en-GB"/>
              </w:rPr>
              <w:t>Residential sector</w:t>
            </w:r>
          </w:p>
        </w:tc>
      </w:tr>
      <w:tr w:rsidR="00AD3320" w:rsidRPr="009B5B67" w14:paraId="391C60E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0D1E456"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4F318085"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2</w:t>
            </w:r>
            <w:r w:rsidRPr="009B5B67">
              <w:rPr>
                <w:rFonts w:cs="Arial"/>
                <w:szCs w:val="20"/>
                <w:lang w:val="en-GB"/>
              </w:rPr>
              <w:t>, N</w:t>
            </w:r>
            <w:r w:rsidRPr="009B5B67">
              <w:rPr>
                <w:rFonts w:cs="Arial"/>
                <w:szCs w:val="20"/>
                <w:vertAlign w:val="subscript"/>
                <w:lang w:val="en-GB"/>
              </w:rPr>
              <w:t>2</w:t>
            </w:r>
            <w:r w:rsidRPr="009B5B67">
              <w:rPr>
                <w:rFonts w:cs="Arial"/>
                <w:szCs w:val="20"/>
                <w:lang w:val="en-GB"/>
              </w:rPr>
              <w:t>O</w:t>
            </w:r>
          </w:p>
        </w:tc>
      </w:tr>
      <w:tr w:rsidR="00AD3320" w:rsidRPr="009B5B67" w14:paraId="2571474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0BD8D87"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52EB3C33" w14:textId="77777777" w:rsidR="00AD3320" w:rsidRPr="009B5B67" w:rsidRDefault="00AD3320" w:rsidP="00AD3320">
            <w:pPr>
              <w:spacing w:after="0"/>
              <w:rPr>
                <w:rFonts w:cs="Arial"/>
                <w:szCs w:val="20"/>
                <w:lang w:val="en-GB"/>
              </w:rPr>
            </w:pPr>
            <w:r w:rsidRPr="009B5B67">
              <w:rPr>
                <w:rFonts w:cs="Arial"/>
                <w:szCs w:val="20"/>
                <w:lang w:val="en-GB"/>
              </w:rPr>
              <w:t>2022</w:t>
            </w:r>
          </w:p>
        </w:tc>
      </w:tr>
      <w:tr w:rsidR="00AD3320" w:rsidRPr="000324FE" w14:paraId="3FBE471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5C8EF20"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3499B0AA" w14:textId="77777777" w:rsidR="00921736" w:rsidRPr="0030283C" w:rsidRDefault="00921736" w:rsidP="00921736">
            <w:pPr>
              <w:spacing w:after="0"/>
              <w:rPr>
                <w:lang w:val="en-GB"/>
              </w:rPr>
            </w:pPr>
            <w:r w:rsidRPr="009B5B67">
              <w:rPr>
                <w:rFonts w:cs="Arial"/>
                <w:szCs w:val="20"/>
                <w:lang w:val="en-GB"/>
              </w:rPr>
              <w:t>Ministry of Mining and Energy</w:t>
            </w:r>
            <w:r>
              <w:rPr>
                <w:rFonts w:cs="Arial"/>
                <w:szCs w:val="20"/>
                <w:lang w:val="en-GB"/>
              </w:rPr>
              <w:t xml:space="preserve">, </w:t>
            </w:r>
            <w:r w:rsidRPr="0030283C">
              <w:rPr>
                <w:lang w:val="en-GB"/>
              </w:rPr>
              <w:t xml:space="preserve">Ministry of Economy, Ministry of Construction, </w:t>
            </w:r>
            <w:proofErr w:type="gramStart"/>
            <w:r w:rsidRPr="0030283C">
              <w:rPr>
                <w:lang w:val="en-GB"/>
              </w:rPr>
              <w:t>Transport</w:t>
            </w:r>
            <w:proofErr w:type="gramEnd"/>
            <w:r w:rsidRPr="0030283C">
              <w:rPr>
                <w:lang w:val="en-GB"/>
              </w:rPr>
              <w:t xml:space="preserve"> and Infrastructure,</w:t>
            </w:r>
          </w:p>
          <w:p w14:paraId="088A612A" w14:textId="071B3A4F" w:rsidR="00AD3320" w:rsidRPr="009B5B67" w:rsidRDefault="00921736" w:rsidP="00921736">
            <w:pPr>
              <w:spacing w:after="0"/>
              <w:rPr>
                <w:rFonts w:cs="Arial"/>
                <w:szCs w:val="20"/>
                <w:lang w:val="en-GB"/>
              </w:rPr>
            </w:pPr>
            <w:r w:rsidRPr="0030283C">
              <w:rPr>
                <w:lang w:val="en-GB"/>
              </w:rPr>
              <w:t>Chamber of Commerce and Industry of Serbia</w:t>
            </w:r>
            <w:r>
              <w:rPr>
                <w:lang w:val="en-GB"/>
              </w:rPr>
              <w:t xml:space="preserve">, </w:t>
            </w:r>
            <w:r w:rsidRPr="0030283C">
              <w:rPr>
                <w:lang w:val="en-GB"/>
              </w:rPr>
              <w:t>Ministry of Environmental Protection</w:t>
            </w:r>
          </w:p>
        </w:tc>
      </w:tr>
      <w:tr w:rsidR="00AD3320" w:rsidRPr="000324FE" w14:paraId="19ABAE4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1BB5951"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0B5E1EDE" w14:textId="77777777" w:rsidR="00AD3320" w:rsidRPr="009B5B67" w:rsidRDefault="00AD3320" w:rsidP="00AD3320">
            <w:pPr>
              <w:spacing w:after="0"/>
              <w:rPr>
                <w:rFonts w:cs="Arial"/>
                <w:szCs w:val="20"/>
                <w:lang w:val="en-GB"/>
              </w:rPr>
            </w:pPr>
            <w:r w:rsidRPr="009B5B67">
              <w:rPr>
                <w:rFonts w:cs="Arial"/>
                <w:szCs w:val="20"/>
                <w:lang w:val="en-GB"/>
              </w:rPr>
              <w:t>Preparatory (start-off): 2 Mio EUR</w:t>
            </w:r>
          </w:p>
          <w:p w14:paraId="34D2E519" w14:textId="77777777" w:rsidR="00AD3320" w:rsidRPr="009B5B67" w:rsidRDefault="00AD3320" w:rsidP="00AD3320">
            <w:pPr>
              <w:spacing w:after="0"/>
              <w:rPr>
                <w:rFonts w:cs="Arial"/>
                <w:szCs w:val="20"/>
                <w:lang w:val="en-GB"/>
              </w:rPr>
            </w:pPr>
            <w:r w:rsidRPr="009B5B67">
              <w:rPr>
                <w:rFonts w:cs="Arial"/>
                <w:szCs w:val="20"/>
                <w:lang w:val="en-GB"/>
              </w:rPr>
              <w:t xml:space="preserve">The additional investment costs for consumers: 81.4 Mio EUR. </w:t>
            </w:r>
          </w:p>
        </w:tc>
      </w:tr>
      <w:tr w:rsidR="00AD3320" w:rsidRPr="009B5B67" w14:paraId="079B4B85"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A492827"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13964044" w14:textId="77777777" w:rsidR="00AD3320" w:rsidRPr="009B5B67" w:rsidRDefault="00AD3320" w:rsidP="00AD3320">
            <w:pPr>
              <w:spacing w:after="0"/>
              <w:rPr>
                <w:rFonts w:cs="Arial"/>
                <w:szCs w:val="20"/>
                <w:lang w:val="en-GB"/>
              </w:rPr>
            </w:pPr>
            <w:r w:rsidRPr="009B5B67">
              <w:rPr>
                <w:rFonts w:cs="Arial"/>
                <w:szCs w:val="20"/>
                <w:lang w:val="en-GB"/>
              </w:rPr>
              <w:t>Improve life conditions</w:t>
            </w:r>
          </w:p>
          <w:p w14:paraId="062C35A4" w14:textId="77777777" w:rsidR="00AD3320" w:rsidRPr="009B5B67" w:rsidRDefault="00AD3320" w:rsidP="00AD3320">
            <w:pPr>
              <w:spacing w:after="0"/>
              <w:rPr>
                <w:rFonts w:cs="Arial"/>
                <w:szCs w:val="20"/>
                <w:lang w:val="en-GB"/>
              </w:rPr>
            </w:pPr>
            <w:r w:rsidRPr="009B5B67">
              <w:rPr>
                <w:rFonts w:cs="Arial"/>
                <w:szCs w:val="20"/>
                <w:lang w:val="en-GB"/>
              </w:rPr>
              <w:t xml:space="preserve">Reduce health pressures </w:t>
            </w:r>
          </w:p>
          <w:p w14:paraId="69128C3F" w14:textId="77777777" w:rsidR="00AD3320" w:rsidRPr="009B5B67" w:rsidRDefault="00AD3320" w:rsidP="00AD3320">
            <w:pPr>
              <w:spacing w:after="0"/>
              <w:rPr>
                <w:rFonts w:cs="Arial"/>
                <w:szCs w:val="20"/>
                <w:lang w:val="en-GB"/>
              </w:rPr>
            </w:pPr>
            <w:r w:rsidRPr="009B5B67">
              <w:rPr>
                <w:rFonts w:cs="Arial"/>
                <w:szCs w:val="20"/>
                <w:lang w:val="en-GB"/>
              </w:rPr>
              <w:t>Reduce utility bills</w:t>
            </w:r>
          </w:p>
        </w:tc>
      </w:tr>
      <w:tr w:rsidR="00AD3320" w:rsidRPr="000324FE" w14:paraId="292220C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BACDFBE"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62105F3A" w14:textId="77777777" w:rsidR="00AD3320" w:rsidRPr="009B5B67" w:rsidRDefault="00AD3320" w:rsidP="00AD3320">
            <w:pPr>
              <w:spacing w:after="0"/>
              <w:rPr>
                <w:rFonts w:cs="Arial"/>
                <w:szCs w:val="20"/>
                <w:lang w:val="en-GB"/>
              </w:rPr>
            </w:pPr>
            <w:r w:rsidRPr="009B5B67">
              <w:rPr>
                <w:rFonts w:cs="Arial"/>
                <w:szCs w:val="20"/>
                <w:lang w:val="en-GB"/>
              </w:rPr>
              <w:t xml:space="preserve">Interaction with </w:t>
            </w:r>
            <w:r w:rsidRPr="009B5B67">
              <w:rPr>
                <w:rFonts w:cs="Arial"/>
                <w:bCs/>
                <w:szCs w:val="20"/>
                <w:lang w:val="en-GB"/>
              </w:rPr>
              <w:t xml:space="preserve">Improving thermal integrity of households will lead to significant and reasonable investment and action of the GHG emission reduction </w:t>
            </w:r>
            <w:r w:rsidRPr="009B5B67">
              <w:rPr>
                <w:rFonts w:cs="Arial"/>
                <w:szCs w:val="20"/>
                <w:lang w:val="en-GB"/>
              </w:rPr>
              <w:t xml:space="preserve">- </w:t>
            </w:r>
            <w:r w:rsidRPr="009B5B67">
              <w:rPr>
                <w:rFonts w:cs="Arial"/>
                <w:szCs w:val="20"/>
                <w:lang w:val="en-GB"/>
              </w:rPr>
              <w:fldChar w:fldCharType="begin"/>
            </w:r>
            <w:r w:rsidRPr="009B5B67">
              <w:rPr>
                <w:rFonts w:cs="Arial"/>
                <w:szCs w:val="20"/>
                <w:lang w:val="en-GB"/>
              </w:rPr>
              <w:instrText xml:space="preserve"> REF _Ref37874157 \h  \* MERGEFORMAT </w:instrText>
            </w:r>
            <w:r w:rsidRPr="009B5B67">
              <w:rPr>
                <w:rFonts w:cs="Arial"/>
                <w:szCs w:val="20"/>
                <w:lang w:val="en-GB"/>
              </w:rPr>
            </w:r>
            <w:r w:rsidRPr="009B5B67">
              <w:rPr>
                <w:rFonts w:cs="Arial"/>
                <w:szCs w:val="20"/>
                <w:lang w:val="en-GB"/>
              </w:rPr>
              <w:fldChar w:fldCharType="separate"/>
            </w:r>
            <w:r w:rsidRPr="009B5B67">
              <w:rPr>
                <w:rFonts w:cs="Arial"/>
                <w:bCs/>
                <w:szCs w:val="20"/>
                <w:lang w:val="en-GB"/>
              </w:rPr>
              <w:t>Mitigation action 5</w:t>
            </w:r>
            <w:r w:rsidRPr="009B5B67">
              <w:rPr>
                <w:rFonts w:cs="Arial"/>
                <w:szCs w:val="20"/>
                <w:lang w:val="en-GB"/>
              </w:rPr>
              <w:fldChar w:fldCharType="end"/>
            </w:r>
          </w:p>
        </w:tc>
      </w:tr>
      <w:tr w:rsidR="00AD3320" w:rsidRPr="009B5B67" w14:paraId="60DF7C3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D50D4BB" w14:textId="77777777" w:rsidR="00AD3320" w:rsidRPr="009B5B67" w:rsidRDefault="00AD3320" w:rsidP="00AD3320">
            <w:pPr>
              <w:spacing w:after="0"/>
              <w:rPr>
                <w:rFonts w:cs="Arial"/>
                <w:szCs w:val="20"/>
                <w:lang w:val="en-GB"/>
              </w:rPr>
            </w:pPr>
            <w:r w:rsidRPr="009B5B67">
              <w:rPr>
                <w:rFonts w:cs="Arial"/>
                <w:szCs w:val="20"/>
                <w:lang w:val="en-GB"/>
              </w:rPr>
              <w:lastRenderedPageBreak/>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40FDBA43" w14:textId="77777777" w:rsidR="00AD3320" w:rsidRPr="009B5B67" w:rsidRDefault="00AD3320" w:rsidP="00AD3320">
            <w:pPr>
              <w:spacing w:after="0"/>
              <w:rPr>
                <w:rFonts w:cs="Arial"/>
                <w:szCs w:val="20"/>
                <w:lang w:val="en-GB"/>
              </w:rPr>
            </w:pPr>
            <w:r w:rsidRPr="009B5B67">
              <w:rPr>
                <w:rFonts w:cs="Arial"/>
                <w:szCs w:val="20"/>
                <w:lang w:val="en-GB"/>
              </w:rPr>
              <w:t xml:space="preserve">Included in </w:t>
            </w:r>
            <w:r w:rsidRPr="009B5B67">
              <w:rPr>
                <w:rFonts w:cs="Arial"/>
                <w:szCs w:val="20"/>
                <w:lang w:val="en-GB"/>
              </w:rPr>
              <w:fldChar w:fldCharType="begin"/>
            </w:r>
            <w:r w:rsidRPr="009B5B67">
              <w:rPr>
                <w:rFonts w:cs="Arial"/>
                <w:szCs w:val="20"/>
                <w:lang w:val="en-GB"/>
              </w:rPr>
              <w:instrText xml:space="preserve"> REF _Ref37874157 \h  \* MERGEFORMAT </w:instrText>
            </w:r>
            <w:r w:rsidRPr="009B5B67">
              <w:rPr>
                <w:rFonts w:cs="Arial"/>
                <w:szCs w:val="20"/>
                <w:lang w:val="en-GB"/>
              </w:rPr>
            </w:r>
            <w:r w:rsidRPr="009B5B67">
              <w:rPr>
                <w:rFonts w:cs="Arial"/>
                <w:szCs w:val="20"/>
                <w:lang w:val="en-GB"/>
              </w:rPr>
              <w:fldChar w:fldCharType="separate"/>
            </w:r>
            <w:r w:rsidRPr="009B5B67">
              <w:rPr>
                <w:rFonts w:cs="Arial"/>
                <w:bCs/>
                <w:szCs w:val="20"/>
                <w:lang w:val="en-GB"/>
              </w:rPr>
              <w:t>Mitigation action 5</w:t>
            </w:r>
            <w:r w:rsidRPr="009B5B67">
              <w:rPr>
                <w:rFonts w:cs="Arial"/>
                <w:szCs w:val="20"/>
                <w:lang w:val="en-GB"/>
              </w:rPr>
              <w:fldChar w:fldCharType="end"/>
            </w:r>
          </w:p>
        </w:tc>
      </w:tr>
      <w:tr w:rsidR="00AD3320" w:rsidRPr="009B5B67" w14:paraId="69EDDB1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8AE69E7"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5621CE22"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37BA5FA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4FA30E1"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6D3224CB"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03F476B1" w14:textId="77777777" w:rsidR="00AD3320" w:rsidRPr="009B5B67"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4026F10C" w14:textId="77777777" w:rsidTr="00AD3320">
        <w:trPr>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7A22CA" w14:textId="6E34F6B6" w:rsidR="00AD3320" w:rsidRPr="009B5B67" w:rsidRDefault="00AD3320" w:rsidP="00921736">
            <w:pPr>
              <w:spacing w:after="0"/>
              <w:rPr>
                <w:rFonts w:cs="Arial"/>
                <w:b/>
                <w:bCs/>
                <w:szCs w:val="20"/>
                <w:lang w:val="en-GB"/>
              </w:rPr>
            </w:pPr>
            <w:r w:rsidRPr="009B5B67">
              <w:rPr>
                <w:rFonts w:cs="Arial"/>
                <w:b/>
                <w:bCs/>
                <w:szCs w:val="20"/>
                <w:lang w:val="en-GB"/>
              </w:rPr>
              <w:t xml:space="preserve">Mitigation action </w:t>
            </w:r>
            <w:r w:rsidR="00921736" w:rsidRPr="00CB0790">
              <w:rPr>
                <w:rFonts w:cs="Arial"/>
                <w:b/>
                <w:szCs w:val="20"/>
                <w:lang w:val="en-GB"/>
              </w:rPr>
              <w:fldChar w:fldCharType="begin"/>
            </w:r>
            <w:r w:rsidR="00921736" w:rsidRPr="00CB0790">
              <w:rPr>
                <w:rFonts w:cs="Arial"/>
                <w:b/>
                <w:szCs w:val="20"/>
                <w:lang w:val="en-GB"/>
              </w:rPr>
              <w:instrText xml:space="preserve"> SEQ Mitigation_action \* ARABIC </w:instrText>
            </w:r>
            <w:r w:rsidR="00921736" w:rsidRPr="00CB0790">
              <w:rPr>
                <w:rFonts w:cs="Arial"/>
                <w:b/>
                <w:szCs w:val="20"/>
                <w:lang w:val="en-GB"/>
              </w:rPr>
              <w:fldChar w:fldCharType="separate"/>
            </w:r>
            <w:r w:rsidR="00921736">
              <w:rPr>
                <w:rFonts w:cs="Arial"/>
                <w:b/>
                <w:noProof/>
                <w:szCs w:val="20"/>
                <w:lang w:val="en-GB"/>
              </w:rPr>
              <w:t>8</w:t>
            </w:r>
            <w:r w:rsidR="00921736"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C958BF4" w14:textId="77777777" w:rsidR="00AD3320" w:rsidRPr="009B5B67" w:rsidRDefault="00AD3320" w:rsidP="00AD3320">
            <w:pPr>
              <w:spacing w:after="0"/>
              <w:rPr>
                <w:rFonts w:cs="Arial"/>
                <w:b/>
                <w:bCs/>
                <w:szCs w:val="20"/>
                <w:lang w:val="en-GB"/>
              </w:rPr>
            </w:pPr>
            <w:r w:rsidRPr="009B5B67">
              <w:rPr>
                <w:rFonts w:cs="Arial"/>
                <w:b/>
                <w:bCs/>
                <w:szCs w:val="20"/>
                <w:lang w:val="en-GB"/>
              </w:rPr>
              <w:t>Improving energy efficiency and use of RES in the Tertiary sector</w:t>
            </w:r>
          </w:p>
        </w:tc>
      </w:tr>
      <w:tr w:rsidR="00AD3320" w:rsidRPr="000324FE" w14:paraId="7ED4877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0FA384B"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0A4E7469" w14:textId="77777777" w:rsidR="00AD3320" w:rsidRPr="009B5B67" w:rsidRDefault="00AD3320" w:rsidP="00AD3320">
            <w:pPr>
              <w:spacing w:after="0"/>
              <w:rPr>
                <w:rFonts w:cs="Arial"/>
                <w:szCs w:val="20"/>
                <w:lang w:val="en-GB"/>
              </w:rPr>
            </w:pPr>
            <w:r w:rsidRPr="009B5B67">
              <w:rPr>
                <w:rFonts w:cs="Arial"/>
                <w:szCs w:val="20"/>
                <w:lang w:val="en-GB"/>
              </w:rPr>
              <w:t xml:space="preserve">Measure shall contribute to reduction of energy consumption (including electricity) and replacement of fuels with zero or lower emitting fuels for heating purposes. Reduction of consumption of solid fuels shall be for 63 </w:t>
            </w:r>
            <w:proofErr w:type="spellStart"/>
            <w:r w:rsidRPr="009B5B67">
              <w:rPr>
                <w:rFonts w:cs="Arial"/>
                <w:szCs w:val="20"/>
                <w:lang w:val="en-GB"/>
              </w:rPr>
              <w:t>ktoe</w:t>
            </w:r>
            <w:proofErr w:type="spellEnd"/>
            <w:r w:rsidRPr="009B5B67">
              <w:rPr>
                <w:rFonts w:cs="Arial"/>
                <w:szCs w:val="20"/>
                <w:lang w:val="en-GB"/>
              </w:rPr>
              <w:t xml:space="preserve"> in 2030/</w:t>
            </w:r>
          </w:p>
        </w:tc>
      </w:tr>
      <w:tr w:rsidR="00AD3320" w:rsidRPr="009B5B67" w14:paraId="6D6A94D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A5E6163"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51CAD56D" w14:textId="77777777" w:rsidR="00AD3320" w:rsidRPr="009B5B67" w:rsidRDefault="00AD3320" w:rsidP="00AD3320">
            <w:pPr>
              <w:spacing w:after="0"/>
              <w:rPr>
                <w:rFonts w:cs="Arial"/>
                <w:szCs w:val="20"/>
                <w:lang w:val="en-GB"/>
              </w:rPr>
            </w:pPr>
            <w:r w:rsidRPr="009B5B67">
              <w:rPr>
                <w:rFonts w:cs="Arial"/>
                <w:szCs w:val="20"/>
                <w:lang w:val="en-GB"/>
              </w:rPr>
              <w:t xml:space="preserve">Reduce GHG emissions by 9.7% </w:t>
            </w:r>
          </w:p>
        </w:tc>
      </w:tr>
      <w:tr w:rsidR="00AD3320" w:rsidRPr="009B5B67" w14:paraId="4902E99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CDD82BB"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48ED0C6F" w14:textId="77777777" w:rsidR="00AD3320" w:rsidRPr="009B5B67" w:rsidRDefault="00AD3320" w:rsidP="00AD3320">
            <w:pPr>
              <w:spacing w:after="0"/>
              <w:rPr>
                <w:rFonts w:cs="Arial"/>
                <w:szCs w:val="20"/>
                <w:lang w:val="en-GB"/>
              </w:rPr>
            </w:pPr>
            <w:r w:rsidRPr="009B5B67">
              <w:rPr>
                <w:rFonts w:cs="Arial"/>
                <w:szCs w:val="20"/>
                <w:lang w:val="en-GB"/>
              </w:rPr>
              <w:t>Regulatory, Incentive, Financial</w:t>
            </w:r>
          </w:p>
        </w:tc>
      </w:tr>
      <w:tr w:rsidR="00AD3320" w:rsidRPr="009B5B67" w14:paraId="1F2F43A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FC956CD"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3A13A860"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0324FE" w14:paraId="6871286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343B3F6"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075BD118" w14:textId="77777777" w:rsidR="00AD3320" w:rsidRPr="009B5B67" w:rsidRDefault="00AD3320" w:rsidP="00AD3320">
            <w:pPr>
              <w:spacing w:after="0"/>
              <w:rPr>
                <w:rFonts w:cs="Arial"/>
                <w:szCs w:val="20"/>
                <w:lang w:val="en-GB"/>
              </w:rPr>
            </w:pPr>
            <w:r w:rsidRPr="009B5B67">
              <w:rPr>
                <w:rFonts w:cs="Arial"/>
                <w:szCs w:val="20"/>
                <w:lang w:val="en-GB"/>
              </w:rPr>
              <w:t>Tertiary sector (the tertiary sector includes buildings in the public and private service (IPCC sector 1.A.4.a) and in the agriculture sectors (IPCC sector 1.A.4.c.i))</w:t>
            </w:r>
          </w:p>
        </w:tc>
      </w:tr>
      <w:tr w:rsidR="00AD3320" w:rsidRPr="009B5B67" w14:paraId="6E823C2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82821CE"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16A5B7A0"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 xml:space="preserve">2, </w:t>
            </w:r>
            <w:r w:rsidRPr="009B5B67">
              <w:rPr>
                <w:rFonts w:cs="Arial"/>
                <w:szCs w:val="20"/>
                <w:lang w:val="en-GB"/>
              </w:rPr>
              <w:t>N</w:t>
            </w:r>
            <w:r w:rsidRPr="009B5B67">
              <w:rPr>
                <w:rFonts w:cs="Arial"/>
                <w:szCs w:val="20"/>
                <w:vertAlign w:val="subscript"/>
                <w:lang w:val="en-GB"/>
              </w:rPr>
              <w:t>2</w:t>
            </w:r>
            <w:r w:rsidRPr="009B5B67">
              <w:rPr>
                <w:rFonts w:cs="Arial"/>
                <w:szCs w:val="20"/>
                <w:lang w:val="en-GB"/>
              </w:rPr>
              <w:t>O</w:t>
            </w:r>
          </w:p>
        </w:tc>
      </w:tr>
      <w:tr w:rsidR="00AD3320" w:rsidRPr="009B5B67" w14:paraId="3A2EFB67"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54AABDE"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6CB01553" w14:textId="77777777" w:rsidR="00AD3320" w:rsidRPr="009B5B67" w:rsidRDefault="00AD3320" w:rsidP="00AD3320">
            <w:pPr>
              <w:spacing w:after="0"/>
              <w:rPr>
                <w:rFonts w:cs="Arial"/>
                <w:szCs w:val="20"/>
                <w:lang w:val="en-GB"/>
              </w:rPr>
            </w:pPr>
            <w:r w:rsidRPr="009B5B67">
              <w:rPr>
                <w:rFonts w:cs="Arial"/>
                <w:szCs w:val="20"/>
                <w:lang w:val="en-GB"/>
              </w:rPr>
              <w:t>2021</w:t>
            </w:r>
          </w:p>
        </w:tc>
      </w:tr>
      <w:tr w:rsidR="00AD3320" w:rsidRPr="000324FE" w14:paraId="66DDB2B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76F67C6"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47ECEA1A" w14:textId="79578279" w:rsidR="00AD3320" w:rsidRPr="009B5B67" w:rsidRDefault="00921736" w:rsidP="00AD3320">
            <w:pPr>
              <w:spacing w:after="0"/>
              <w:rPr>
                <w:rFonts w:cs="Arial"/>
                <w:szCs w:val="20"/>
                <w:lang w:val="en-GB"/>
              </w:rPr>
            </w:pPr>
            <w:r w:rsidRPr="00921736">
              <w:rPr>
                <w:rFonts w:cs="Arial"/>
                <w:szCs w:val="20"/>
                <w:lang w:val="en-GB"/>
              </w:rPr>
              <w:t xml:space="preserve">Administration for Joint Services of the Republic Bodies, Ministry of Mining and Energy, Ministry of Construction, Transport and Infrastructure, Ministry of Finance, Local </w:t>
            </w:r>
            <w:proofErr w:type="gramStart"/>
            <w:r w:rsidRPr="00921736">
              <w:rPr>
                <w:rFonts w:cs="Arial"/>
                <w:szCs w:val="20"/>
                <w:lang w:val="en-GB"/>
              </w:rPr>
              <w:t>communities</w:t>
            </w:r>
            <w:proofErr w:type="gramEnd"/>
            <w:r w:rsidRPr="00921736">
              <w:rPr>
                <w:rFonts w:cs="Arial"/>
                <w:szCs w:val="20"/>
                <w:lang w:val="en-GB"/>
              </w:rPr>
              <w:t xml:space="preserve"> and other Institutional and Commercial entities</w:t>
            </w:r>
          </w:p>
        </w:tc>
      </w:tr>
      <w:tr w:rsidR="00AD3320" w:rsidRPr="000324FE" w14:paraId="73E044B5"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21F3847"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62BEF566" w14:textId="77777777" w:rsidR="00AD3320" w:rsidRPr="009B5B67" w:rsidRDefault="00AD3320" w:rsidP="00AD3320">
            <w:pPr>
              <w:spacing w:after="0"/>
              <w:rPr>
                <w:rFonts w:cs="Arial"/>
                <w:szCs w:val="20"/>
                <w:lang w:val="en-GB"/>
              </w:rPr>
            </w:pPr>
            <w:r w:rsidRPr="009B5B67">
              <w:rPr>
                <w:rFonts w:cs="Arial"/>
                <w:szCs w:val="20"/>
                <w:lang w:val="en-GB"/>
              </w:rPr>
              <w:t>Preparatory costs (start-off): 2 Mio EUR</w:t>
            </w:r>
          </w:p>
          <w:p w14:paraId="52D942B0" w14:textId="77777777" w:rsidR="00AD3320" w:rsidRPr="009B5B67" w:rsidRDefault="00AD3320" w:rsidP="00AD3320">
            <w:pPr>
              <w:spacing w:after="0"/>
              <w:rPr>
                <w:rFonts w:cs="Arial"/>
                <w:szCs w:val="20"/>
                <w:lang w:val="en-GB"/>
              </w:rPr>
            </w:pPr>
            <w:r w:rsidRPr="009B5B67">
              <w:rPr>
                <w:rFonts w:cs="Arial"/>
                <w:szCs w:val="20"/>
                <w:lang w:val="en-GB"/>
              </w:rPr>
              <w:t>The additional investment costs (mainly for the state): 94.4 Mio EUR.</w:t>
            </w:r>
          </w:p>
        </w:tc>
      </w:tr>
      <w:tr w:rsidR="00AD3320" w:rsidRPr="000324FE" w14:paraId="4CCAB9C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DB8CDBC"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35B99A69" w14:textId="77777777" w:rsidR="00AD3320" w:rsidRPr="009B5B67" w:rsidRDefault="00AD3320" w:rsidP="00AD3320">
            <w:pPr>
              <w:spacing w:after="0"/>
              <w:rPr>
                <w:rFonts w:cs="Arial"/>
                <w:szCs w:val="20"/>
                <w:lang w:val="en-GB"/>
              </w:rPr>
            </w:pPr>
            <w:r w:rsidRPr="009B5B67">
              <w:rPr>
                <w:rFonts w:cs="Arial"/>
                <w:szCs w:val="20"/>
                <w:lang w:val="en-GB"/>
              </w:rPr>
              <w:t xml:space="preserve">Improve quality of services </w:t>
            </w:r>
          </w:p>
          <w:p w14:paraId="2C658463" w14:textId="77777777" w:rsidR="00AD3320" w:rsidRPr="009B5B67" w:rsidRDefault="00AD3320" w:rsidP="00AD3320">
            <w:pPr>
              <w:spacing w:after="0"/>
              <w:rPr>
                <w:rFonts w:cs="Arial"/>
                <w:szCs w:val="20"/>
                <w:lang w:val="en-GB"/>
              </w:rPr>
            </w:pPr>
            <w:r w:rsidRPr="009B5B67">
              <w:rPr>
                <w:rFonts w:cs="Arial"/>
                <w:szCs w:val="20"/>
                <w:lang w:val="en-GB"/>
              </w:rPr>
              <w:t>Reduce utility bills</w:t>
            </w:r>
          </w:p>
          <w:p w14:paraId="4D94A66D" w14:textId="77777777" w:rsidR="00AD3320" w:rsidRPr="009B5B67" w:rsidRDefault="00AD3320" w:rsidP="00AD3320">
            <w:pPr>
              <w:spacing w:after="0"/>
              <w:rPr>
                <w:rFonts w:cs="Arial"/>
                <w:szCs w:val="20"/>
                <w:lang w:val="en-GB"/>
              </w:rPr>
            </w:pPr>
            <w:r w:rsidRPr="009B5B67">
              <w:rPr>
                <w:rFonts w:cs="Arial"/>
                <w:szCs w:val="20"/>
                <w:lang w:val="en-GB"/>
              </w:rPr>
              <w:t>“Greening” of the local economy</w:t>
            </w:r>
          </w:p>
          <w:p w14:paraId="5AC182FB" w14:textId="668E5A25" w:rsidR="00980062" w:rsidRPr="009B5B67" w:rsidRDefault="00AD3320" w:rsidP="003C5F99">
            <w:pPr>
              <w:spacing w:after="0"/>
              <w:rPr>
                <w:rFonts w:cs="Arial"/>
                <w:szCs w:val="20"/>
                <w:lang w:val="en-GB"/>
              </w:rPr>
            </w:pPr>
            <w:r w:rsidRPr="009B5B67">
              <w:rPr>
                <w:rFonts w:cs="Arial"/>
                <w:szCs w:val="20"/>
                <w:lang w:val="en-GB"/>
              </w:rPr>
              <w:lastRenderedPageBreak/>
              <w:t>Improve work conditions</w:t>
            </w:r>
          </w:p>
        </w:tc>
      </w:tr>
      <w:tr w:rsidR="00AD3320" w:rsidRPr="000324FE" w14:paraId="6242087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84655B9" w14:textId="77777777" w:rsidR="00AD3320" w:rsidRPr="009B5B67" w:rsidRDefault="00AD3320" w:rsidP="00AD3320">
            <w:pPr>
              <w:spacing w:after="0"/>
              <w:rPr>
                <w:rFonts w:cs="Arial"/>
                <w:szCs w:val="20"/>
                <w:lang w:val="en-GB"/>
              </w:rPr>
            </w:pPr>
            <w:r w:rsidRPr="009B5B67">
              <w:rPr>
                <w:rFonts w:cs="Arial"/>
                <w:szCs w:val="20"/>
                <w:lang w:val="en-GB"/>
              </w:rPr>
              <w:lastRenderedPageBreak/>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5D535DCA" w14:textId="77777777" w:rsidR="00AD3320" w:rsidRPr="009B5B67" w:rsidRDefault="00AD3320" w:rsidP="00AD3320">
            <w:pPr>
              <w:spacing w:after="0"/>
              <w:rPr>
                <w:rFonts w:cs="Arial"/>
                <w:szCs w:val="20"/>
                <w:lang w:val="en-GB"/>
              </w:rPr>
            </w:pPr>
            <w:r w:rsidRPr="009B5B67">
              <w:rPr>
                <w:rFonts w:cs="Arial"/>
                <w:szCs w:val="20"/>
                <w:lang w:val="en-GB"/>
              </w:rPr>
              <w:t>Strong interaction with improving of the thermal integrity of tertiary buildings (</w:t>
            </w:r>
            <w:r w:rsidRPr="009B5B67">
              <w:rPr>
                <w:rFonts w:cs="Arial"/>
                <w:szCs w:val="20"/>
                <w:lang w:val="en-GB"/>
              </w:rPr>
              <w:fldChar w:fldCharType="begin"/>
            </w:r>
            <w:r w:rsidRPr="009B5B67">
              <w:rPr>
                <w:rFonts w:cs="Arial"/>
                <w:szCs w:val="20"/>
                <w:lang w:val="en-GB"/>
              </w:rPr>
              <w:instrText xml:space="preserve"> REF _Ref37874567 \h  \* MERGEFORMAT </w:instrText>
            </w:r>
            <w:r w:rsidRPr="009B5B67">
              <w:rPr>
                <w:rFonts w:cs="Arial"/>
                <w:szCs w:val="20"/>
                <w:lang w:val="en-GB"/>
              </w:rPr>
            </w:r>
            <w:r w:rsidRPr="009B5B67">
              <w:rPr>
                <w:rFonts w:cs="Arial"/>
                <w:szCs w:val="20"/>
                <w:lang w:val="en-GB"/>
              </w:rPr>
              <w:fldChar w:fldCharType="separate"/>
            </w:r>
            <w:r w:rsidRPr="009B5B67">
              <w:rPr>
                <w:rFonts w:cs="Arial"/>
                <w:bCs/>
                <w:szCs w:val="20"/>
                <w:lang w:val="en-GB"/>
              </w:rPr>
              <w:t>Mitigation action 8</w:t>
            </w:r>
            <w:r w:rsidRPr="009B5B67">
              <w:rPr>
                <w:rFonts w:cs="Arial"/>
                <w:szCs w:val="20"/>
                <w:lang w:val="en-GB"/>
              </w:rPr>
              <w:fldChar w:fldCharType="end"/>
            </w:r>
            <w:r w:rsidRPr="009B5B67">
              <w:rPr>
                <w:rFonts w:cs="Arial"/>
                <w:szCs w:val="20"/>
                <w:lang w:val="en-GB"/>
              </w:rPr>
              <w:t xml:space="preserve">) </w:t>
            </w:r>
            <w:proofErr w:type="gramStart"/>
            <w:r w:rsidRPr="009B5B67">
              <w:rPr>
                <w:rFonts w:cs="Arial"/>
                <w:szCs w:val="20"/>
                <w:lang w:val="en-GB"/>
              </w:rPr>
              <w:t>in order to</w:t>
            </w:r>
            <w:proofErr w:type="gramEnd"/>
            <w:r w:rsidRPr="009B5B67">
              <w:rPr>
                <w:rFonts w:cs="Arial"/>
                <w:szCs w:val="20"/>
                <w:lang w:val="en-GB"/>
              </w:rPr>
              <w:t xml:space="preserve"> achieve significant GHG emission reduction and sustainable investment </w:t>
            </w:r>
          </w:p>
        </w:tc>
      </w:tr>
      <w:tr w:rsidR="00AD3320" w:rsidRPr="009B5B67" w14:paraId="5C0D03E7"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A4AACC5"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3DD2D39D" w14:textId="77777777" w:rsidR="00AD3320" w:rsidRPr="009B5B67" w:rsidRDefault="00AD3320" w:rsidP="00AD3320">
            <w:pPr>
              <w:spacing w:after="0"/>
              <w:rPr>
                <w:rFonts w:cs="Arial"/>
                <w:szCs w:val="20"/>
                <w:lang w:val="en-GB"/>
              </w:rPr>
            </w:pPr>
            <w:r w:rsidRPr="009B5B67">
              <w:rPr>
                <w:rFonts w:cs="Arial"/>
                <w:szCs w:val="20"/>
                <w:lang w:val="en-GB"/>
              </w:rPr>
              <w:t>365 kt CO</w:t>
            </w:r>
            <w:r w:rsidRPr="009B5B67">
              <w:rPr>
                <w:rFonts w:cs="Arial"/>
                <w:szCs w:val="20"/>
                <w:vertAlign w:val="subscript"/>
                <w:lang w:val="en-GB"/>
              </w:rPr>
              <w:t xml:space="preserve">2 </w:t>
            </w:r>
            <w:proofErr w:type="spellStart"/>
            <w:r w:rsidRPr="009B5B67">
              <w:rPr>
                <w:rFonts w:cs="Arial"/>
                <w:szCs w:val="20"/>
                <w:lang w:val="en-GB"/>
              </w:rPr>
              <w:t>eq</w:t>
            </w:r>
            <w:proofErr w:type="spellEnd"/>
          </w:p>
        </w:tc>
      </w:tr>
      <w:tr w:rsidR="00AD3320" w:rsidRPr="009B5B67" w14:paraId="1F68C83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A5B94E6"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266C2F8C"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5B9304E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1D64605"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6448E556"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323125DC" w14:textId="77777777" w:rsidR="00AD3320" w:rsidRPr="009B5B67"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2BD3B863" w14:textId="77777777" w:rsidTr="00AD3320">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862504" w14:textId="5360659D" w:rsidR="00AD3320" w:rsidRPr="009B5B67" w:rsidRDefault="00AD3320" w:rsidP="00921736">
            <w:pPr>
              <w:spacing w:after="0"/>
              <w:rPr>
                <w:rFonts w:cs="Arial"/>
                <w:b/>
                <w:bCs/>
                <w:szCs w:val="20"/>
                <w:lang w:val="en-GB"/>
              </w:rPr>
            </w:pPr>
            <w:r w:rsidRPr="009B5B67">
              <w:rPr>
                <w:rFonts w:cs="Arial"/>
                <w:b/>
                <w:bCs/>
                <w:szCs w:val="20"/>
                <w:lang w:val="en-GB"/>
              </w:rPr>
              <w:t xml:space="preserve">Mitigation action </w:t>
            </w:r>
            <w:r w:rsidR="00921736" w:rsidRPr="00CB0790">
              <w:rPr>
                <w:rFonts w:cs="Arial"/>
                <w:b/>
                <w:szCs w:val="20"/>
                <w:lang w:val="en-GB"/>
              </w:rPr>
              <w:fldChar w:fldCharType="begin"/>
            </w:r>
            <w:r w:rsidR="00921736" w:rsidRPr="00CB0790">
              <w:rPr>
                <w:rFonts w:cs="Arial"/>
                <w:b/>
                <w:szCs w:val="20"/>
                <w:lang w:val="en-GB"/>
              </w:rPr>
              <w:instrText xml:space="preserve"> SEQ Mitigation_action \* ARABIC </w:instrText>
            </w:r>
            <w:r w:rsidR="00921736" w:rsidRPr="00CB0790">
              <w:rPr>
                <w:rFonts w:cs="Arial"/>
                <w:b/>
                <w:szCs w:val="20"/>
                <w:lang w:val="en-GB"/>
              </w:rPr>
              <w:fldChar w:fldCharType="separate"/>
            </w:r>
            <w:r w:rsidR="00921736">
              <w:rPr>
                <w:rFonts w:cs="Arial"/>
                <w:b/>
                <w:noProof/>
                <w:szCs w:val="20"/>
                <w:lang w:val="en-GB"/>
              </w:rPr>
              <w:t>9</w:t>
            </w:r>
            <w:r w:rsidR="00921736"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46D7DB" w14:textId="77777777" w:rsidR="00AD3320" w:rsidRPr="009B5B67" w:rsidRDefault="00AD3320" w:rsidP="00AD3320">
            <w:pPr>
              <w:spacing w:after="0"/>
              <w:rPr>
                <w:rFonts w:cs="Arial"/>
                <w:b/>
                <w:bCs/>
                <w:szCs w:val="20"/>
                <w:lang w:val="en-GB"/>
              </w:rPr>
            </w:pPr>
            <w:r w:rsidRPr="009B5B67">
              <w:rPr>
                <w:rFonts w:cs="Arial"/>
                <w:b/>
                <w:bCs/>
                <w:szCs w:val="20"/>
                <w:lang w:val="en-GB"/>
              </w:rPr>
              <w:t>Improving thermal integrity in the Tertiary sector</w:t>
            </w:r>
          </w:p>
        </w:tc>
      </w:tr>
      <w:tr w:rsidR="00AD3320" w:rsidRPr="000324FE" w14:paraId="09A335D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45580E8"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0F3F4769" w14:textId="77777777" w:rsidR="00AD3320" w:rsidRPr="009B5B67" w:rsidRDefault="00AD3320" w:rsidP="00AD3320">
            <w:pPr>
              <w:spacing w:after="0"/>
              <w:rPr>
                <w:rFonts w:cs="Arial"/>
                <w:szCs w:val="20"/>
                <w:lang w:val="en-GB"/>
              </w:rPr>
            </w:pPr>
            <w:r w:rsidRPr="009B5B67">
              <w:rPr>
                <w:rFonts w:cs="Arial"/>
                <w:szCs w:val="20"/>
                <w:lang w:val="en-GB"/>
              </w:rPr>
              <w:t>Improving thermal integrity (insolation) of the tertiary sector buildings, reduces heating and cooling needs, contributing significantly to energy efficiency gains. Measure assumes 5.8 Mio m</w:t>
            </w:r>
            <w:r w:rsidRPr="009B5B67">
              <w:rPr>
                <w:rFonts w:cs="Arial"/>
                <w:szCs w:val="20"/>
                <w:vertAlign w:val="superscript"/>
                <w:lang w:val="en-GB"/>
              </w:rPr>
              <w:t>2</w:t>
            </w:r>
            <w:r w:rsidRPr="009B5B67">
              <w:rPr>
                <w:rFonts w:cs="Arial"/>
                <w:szCs w:val="20"/>
                <w:lang w:val="en-GB"/>
              </w:rPr>
              <w:t xml:space="preserve"> of tertiary sector public buildings deeply renovated. Consequently, energy costs as well as investment costs in heating and cooling infrastructure are reduced. </w:t>
            </w:r>
          </w:p>
        </w:tc>
      </w:tr>
      <w:tr w:rsidR="00AD3320" w:rsidRPr="009B5B67" w14:paraId="7E228BB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554BFB6"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2F4B7DB6" w14:textId="77777777" w:rsidR="00AD3320" w:rsidRPr="009B5B67" w:rsidRDefault="00AD3320" w:rsidP="00AD3320">
            <w:pPr>
              <w:spacing w:after="0"/>
              <w:rPr>
                <w:rFonts w:cs="Arial"/>
                <w:szCs w:val="20"/>
                <w:lang w:val="en-GB"/>
              </w:rPr>
            </w:pPr>
            <w:r w:rsidRPr="009B5B67">
              <w:rPr>
                <w:rFonts w:cs="Arial"/>
                <w:szCs w:val="20"/>
                <w:lang w:val="en-GB"/>
              </w:rPr>
              <w:t xml:space="preserve">Reduce GHG emissions by 9.7% </w:t>
            </w:r>
          </w:p>
        </w:tc>
      </w:tr>
      <w:tr w:rsidR="00AD3320" w:rsidRPr="009B5B67" w14:paraId="1FD2C7C3"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E574BE5"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46074444" w14:textId="77777777" w:rsidR="00AD3320" w:rsidRPr="009B5B67" w:rsidRDefault="00AD3320" w:rsidP="00AD3320">
            <w:pPr>
              <w:spacing w:after="0"/>
              <w:rPr>
                <w:rFonts w:cs="Arial"/>
                <w:szCs w:val="20"/>
                <w:lang w:val="en-GB"/>
              </w:rPr>
            </w:pPr>
            <w:r w:rsidRPr="009B5B67">
              <w:rPr>
                <w:rFonts w:cs="Arial"/>
                <w:szCs w:val="20"/>
                <w:lang w:val="en-GB"/>
              </w:rPr>
              <w:t>Regulatory, Incentive, Financial</w:t>
            </w:r>
          </w:p>
        </w:tc>
      </w:tr>
      <w:tr w:rsidR="00AD3320" w:rsidRPr="009B5B67" w14:paraId="4063154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4463C42"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4582A790"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9B5B67" w14:paraId="6767E6D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4334591"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2E00952F" w14:textId="77777777" w:rsidR="00AD3320" w:rsidRPr="009B5B67" w:rsidRDefault="00AD3320" w:rsidP="00AD3320">
            <w:pPr>
              <w:spacing w:after="0"/>
              <w:rPr>
                <w:rFonts w:cs="Arial"/>
                <w:szCs w:val="20"/>
                <w:lang w:val="en-GB"/>
              </w:rPr>
            </w:pPr>
            <w:proofErr w:type="gramStart"/>
            <w:r w:rsidRPr="009B5B67">
              <w:rPr>
                <w:rFonts w:cs="Arial"/>
                <w:szCs w:val="20"/>
                <w:lang w:val="en-GB"/>
              </w:rPr>
              <w:t>Other</w:t>
            </w:r>
            <w:proofErr w:type="gramEnd"/>
            <w:r w:rsidRPr="009B5B67">
              <w:rPr>
                <w:rFonts w:cs="Arial"/>
                <w:szCs w:val="20"/>
                <w:lang w:val="en-GB"/>
              </w:rPr>
              <w:t xml:space="preserve"> sector – Tertiary Sector</w:t>
            </w:r>
          </w:p>
        </w:tc>
      </w:tr>
      <w:tr w:rsidR="00AD3320" w:rsidRPr="009B5B67" w14:paraId="1EFC2506"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80EC95A"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0A4F4AFB"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 xml:space="preserve">2, </w:t>
            </w:r>
            <w:r w:rsidRPr="009B5B67">
              <w:rPr>
                <w:rFonts w:cs="Arial"/>
                <w:szCs w:val="20"/>
                <w:lang w:val="en-GB"/>
              </w:rPr>
              <w:t>N</w:t>
            </w:r>
            <w:r w:rsidRPr="009B5B67">
              <w:rPr>
                <w:rFonts w:cs="Arial"/>
                <w:szCs w:val="20"/>
                <w:vertAlign w:val="subscript"/>
                <w:lang w:val="en-GB"/>
              </w:rPr>
              <w:t>2</w:t>
            </w:r>
            <w:r w:rsidRPr="009B5B67">
              <w:rPr>
                <w:rFonts w:cs="Arial"/>
                <w:szCs w:val="20"/>
                <w:lang w:val="en-GB"/>
              </w:rPr>
              <w:t>O</w:t>
            </w:r>
          </w:p>
        </w:tc>
      </w:tr>
      <w:tr w:rsidR="00AD3320" w:rsidRPr="009B5B67" w14:paraId="4DB83BF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A25269A"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0E46D078" w14:textId="77777777" w:rsidR="00AD3320" w:rsidRPr="009B5B67" w:rsidRDefault="00AD3320" w:rsidP="00AD3320">
            <w:pPr>
              <w:spacing w:after="0"/>
              <w:rPr>
                <w:rFonts w:cs="Arial"/>
                <w:szCs w:val="20"/>
                <w:lang w:val="en-GB"/>
              </w:rPr>
            </w:pPr>
            <w:r w:rsidRPr="009B5B67">
              <w:rPr>
                <w:rFonts w:cs="Arial"/>
                <w:szCs w:val="20"/>
                <w:lang w:val="en-GB"/>
              </w:rPr>
              <w:t>2022</w:t>
            </w:r>
          </w:p>
        </w:tc>
      </w:tr>
      <w:tr w:rsidR="00AD3320" w:rsidRPr="000324FE" w14:paraId="18A9AEA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FE28C84"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2135667E" w14:textId="77777777" w:rsidR="00AD3320" w:rsidRPr="009B5B67" w:rsidRDefault="00AD3320" w:rsidP="00AD3320">
            <w:pPr>
              <w:spacing w:after="0"/>
              <w:rPr>
                <w:rFonts w:cs="Arial"/>
                <w:szCs w:val="20"/>
                <w:lang w:val="en-GB"/>
              </w:rPr>
            </w:pPr>
            <w:r w:rsidRPr="009B5B67">
              <w:rPr>
                <w:rFonts w:cs="Arial"/>
                <w:szCs w:val="20"/>
                <w:lang w:val="en-GB"/>
              </w:rPr>
              <w:t xml:space="preserve">Administration of Joint Services of the Republic Bodies, Ministry of Mining and Energy, Ministry of Construction, Transport and Infrastructure, Ministry of Finance, Local </w:t>
            </w:r>
            <w:proofErr w:type="gramStart"/>
            <w:r w:rsidRPr="009B5B67">
              <w:rPr>
                <w:rFonts w:cs="Arial"/>
                <w:szCs w:val="20"/>
                <w:lang w:val="en-GB"/>
              </w:rPr>
              <w:t>communities</w:t>
            </w:r>
            <w:proofErr w:type="gramEnd"/>
            <w:r w:rsidRPr="009B5B67">
              <w:rPr>
                <w:rFonts w:cs="Arial"/>
                <w:szCs w:val="20"/>
                <w:lang w:val="en-GB"/>
              </w:rPr>
              <w:t xml:space="preserve"> and other Institutional and commercial entities</w:t>
            </w:r>
          </w:p>
        </w:tc>
      </w:tr>
      <w:tr w:rsidR="00AD3320" w:rsidRPr="000324FE" w14:paraId="7B01360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09D8C44"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771AD980" w14:textId="77777777" w:rsidR="00AD3320" w:rsidRPr="009B5B67" w:rsidRDefault="00AD3320" w:rsidP="00AD3320">
            <w:pPr>
              <w:spacing w:after="0"/>
              <w:rPr>
                <w:rFonts w:cs="Arial"/>
                <w:szCs w:val="20"/>
                <w:lang w:val="en-GB"/>
              </w:rPr>
            </w:pPr>
            <w:r w:rsidRPr="009B5B67">
              <w:rPr>
                <w:rFonts w:cs="Arial"/>
                <w:szCs w:val="20"/>
                <w:lang w:val="en-GB"/>
              </w:rPr>
              <w:t xml:space="preserve">Preparatory (start-off): 1 Mio EUR </w:t>
            </w:r>
          </w:p>
          <w:p w14:paraId="5C170AAB" w14:textId="77777777" w:rsidR="00AD3320" w:rsidRPr="009B5B67" w:rsidRDefault="00AD3320" w:rsidP="00AD3320">
            <w:pPr>
              <w:spacing w:after="0"/>
              <w:rPr>
                <w:rFonts w:cs="Arial"/>
                <w:szCs w:val="20"/>
                <w:lang w:val="en-GB"/>
              </w:rPr>
            </w:pPr>
            <w:r w:rsidRPr="009B5B67">
              <w:rPr>
                <w:rFonts w:cs="Arial"/>
                <w:szCs w:val="20"/>
                <w:lang w:val="en-GB"/>
              </w:rPr>
              <w:t>The additional investment costs (mainly for the state): 168.7 Mio EUR</w:t>
            </w:r>
          </w:p>
        </w:tc>
      </w:tr>
      <w:tr w:rsidR="00AD3320" w:rsidRPr="000324FE" w14:paraId="65017D7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882D108"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4D9A111F" w14:textId="77777777" w:rsidR="00AD3320" w:rsidRPr="009B5B67" w:rsidRDefault="00AD3320" w:rsidP="00AD3320">
            <w:pPr>
              <w:spacing w:after="0"/>
              <w:rPr>
                <w:rFonts w:cs="Arial"/>
                <w:szCs w:val="20"/>
                <w:lang w:val="en-GB"/>
              </w:rPr>
            </w:pPr>
            <w:r w:rsidRPr="009B5B67">
              <w:rPr>
                <w:rFonts w:cs="Arial"/>
                <w:szCs w:val="20"/>
                <w:lang w:val="en-GB"/>
              </w:rPr>
              <w:t>Improve quality of life</w:t>
            </w:r>
          </w:p>
          <w:p w14:paraId="2A8FBDC9" w14:textId="77777777" w:rsidR="00AD3320" w:rsidRPr="009B5B67" w:rsidRDefault="00AD3320" w:rsidP="00AD3320">
            <w:pPr>
              <w:spacing w:after="0"/>
              <w:rPr>
                <w:rFonts w:cs="Arial"/>
                <w:szCs w:val="20"/>
                <w:lang w:val="en-GB"/>
              </w:rPr>
            </w:pPr>
            <w:r w:rsidRPr="009B5B67">
              <w:rPr>
                <w:rFonts w:cs="Arial"/>
                <w:szCs w:val="20"/>
                <w:lang w:val="en-GB"/>
              </w:rPr>
              <w:lastRenderedPageBreak/>
              <w:t>Reduce utility bills</w:t>
            </w:r>
          </w:p>
          <w:p w14:paraId="67709498" w14:textId="77777777" w:rsidR="00AD3320" w:rsidRPr="009B5B67" w:rsidRDefault="00AD3320" w:rsidP="00AD3320">
            <w:pPr>
              <w:spacing w:after="0"/>
              <w:rPr>
                <w:rFonts w:cs="Arial"/>
                <w:szCs w:val="20"/>
                <w:lang w:val="en-GB"/>
              </w:rPr>
            </w:pPr>
            <w:r w:rsidRPr="009B5B67">
              <w:rPr>
                <w:rFonts w:cs="Arial"/>
                <w:szCs w:val="20"/>
                <w:lang w:val="en-GB"/>
              </w:rPr>
              <w:t>“Greening” of the local economy</w:t>
            </w:r>
          </w:p>
        </w:tc>
      </w:tr>
      <w:tr w:rsidR="00AD3320" w:rsidRPr="000324FE" w14:paraId="18B30EF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537D7F7" w14:textId="77777777" w:rsidR="00AD3320" w:rsidRPr="009B5B67" w:rsidRDefault="00AD3320" w:rsidP="00AD3320">
            <w:pPr>
              <w:spacing w:after="0"/>
              <w:rPr>
                <w:rFonts w:cs="Arial"/>
                <w:szCs w:val="20"/>
                <w:lang w:val="en-GB"/>
              </w:rPr>
            </w:pPr>
            <w:r w:rsidRPr="009B5B67">
              <w:rPr>
                <w:rFonts w:cs="Arial"/>
                <w:szCs w:val="20"/>
                <w:lang w:val="en-GB"/>
              </w:rPr>
              <w:lastRenderedPageBreak/>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4A64D102" w14:textId="77777777" w:rsidR="00AD3320" w:rsidRPr="009B5B67" w:rsidRDefault="00AD3320" w:rsidP="00AD3320">
            <w:pPr>
              <w:spacing w:after="0"/>
              <w:rPr>
                <w:rFonts w:cs="Arial"/>
                <w:szCs w:val="20"/>
                <w:lang w:val="en-GB"/>
              </w:rPr>
            </w:pPr>
            <w:r w:rsidRPr="009B5B67">
              <w:rPr>
                <w:rFonts w:cs="Arial"/>
                <w:szCs w:val="20"/>
                <w:lang w:val="en-GB"/>
              </w:rPr>
              <w:t>Interaction with measure Improving Energy efficiency and use of RES in the Tertiary sector (</w:t>
            </w:r>
            <w:r w:rsidRPr="009B5B67">
              <w:rPr>
                <w:rFonts w:cs="Arial"/>
                <w:szCs w:val="20"/>
                <w:lang w:val="en-GB"/>
              </w:rPr>
              <w:fldChar w:fldCharType="begin"/>
            </w:r>
            <w:r w:rsidRPr="009B5B67">
              <w:rPr>
                <w:rFonts w:cs="Arial"/>
                <w:szCs w:val="20"/>
                <w:lang w:val="en-GB"/>
              </w:rPr>
              <w:instrText xml:space="preserve"> REF _Ref37874951 \h  \* MERGEFORMAT </w:instrText>
            </w:r>
            <w:r w:rsidRPr="009B5B67">
              <w:rPr>
                <w:rFonts w:cs="Arial"/>
                <w:szCs w:val="20"/>
                <w:lang w:val="en-GB"/>
              </w:rPr>
            </w:r>
            <w:r w:rsidRPr="009B5B67">
              <w:rPr>
                <w:rFonts w:cs="Arial"/>
                <w:szCs w:val="20"/>
                <w:lang w:val="en-GB"/>
              </w:rPr>
              <w:fldChar w:fldCharType="separate"/>
            </w:r>
            <w:r w:rsidRPr="009B5B67">
              <w:rPr>
                <w:rFonts w:cs="Arial"/>
                <w:bCs/>
                <w:szCs w:val="20"/>
                <w:lang w:val="en-GB"/>
              </w:rPr>
              <w:t>Mitigation action 7</w:t>
            </w:r>
            <w:r w:rsidRPr="009B5B67">
              <w:rPr>
                <w:rFonts w:cs="Arial"/>
                <w:szCs w:val="20"/>
                <w:lang w:val="en-GB"/>
              </w:rPr>
              <w:fldChar w:fldCharType="end"/>
            </w:r>
            <w:r w:rsidRPr="009B5B67">
              <w:rPr>
                <w:rFonts w:cs="Arial"/>
                <w:szCs w:val="20"/>
                <w:lang w:val="en-GB"/>
              </w:rPr>
              <w:t>)</w:t>
            </w:r>
          </w:p>
        </w:tc>
      </w:tr>
      <w:tr w:rsidR="00AD3320" w:rsidRPr="000324FE" w14:paraId="5C49C91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8531B3D"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1748BB65" w14:textId="77777777" w:rsidR="00AD3320" w:rsidRPr="009B5B67" w:rsidRDefault="00AD3320" w:rsidP="00AD3320">
            <w:pPr>
              <w:spacing w:after="0"/>
              <w:rPr>
                <w:rFonts w:cs="Arial"/>
                <w:szCs w:val="20"/>
                <w:lang w:val="en-GB"/>
              </w:rPr>
            </w:pPr>
            <w:r w:rsidRPr="009B5B67">
              <w:rPr>
                <w:rFonts w:cs="Arial"/>
                <w:szCs w:val="20"/>
                <w:lang w:val="en-GB"/>
              </w:rPr>
              <w:t>Included in measure Improving Energy efficiency and use of RES in the Tertiary sector (</w:t>
            </w:r>
            <w:r w:rsidRPr="009B5B67">
              <w:rPr>
                <w:rFonts w:cs="Arial"/>
                <w:szCs w:val="20"/>
                <w:lang w:val="en-GB"/>
              </w:rPr>
              <w:fldChar w:fldCharType="begin"/>
            </w:r>
            <w:r w:rsidRPr="009B5B67">
              <w:rPr>
                <w:rFonts w:cs="Arial"/>
                <w:szCs w:val="20"/>
                <w:lang w:val="en-GB"/>
              </w:rPr>
              <w:instrText xml:space="preserve"> REF _Ref37874951 \h  \* MERGEFORMAT </w:instrText>
            </w:r>
            <w:r w:rsidRPr="009B5B67">
              <w:rPr>
                <w:rFonts w:cs="Arial"/>
                <w:szCs w:val="20"/>
                <w:lang w:val="en-GB"/>
              </w:rPr>
            </w:r>
            <w:r w:rsidRPr="009B5B67">
              <w:rPr>
                <w:rFonts w:cs="Arial"/>
                <w:szCs w:val="20"/>
                <w:lang w:val="en-GB"/>
              </w:rPr>
              <w:fldChar w:fldCharType="separate"/>
            </w:r>
            <w:r w:rsidRPr="009B5B67">
              <w:rPr>
                <w:rFonts w:cs="Arial"/>
                <w:bCs/>
                <w:szCs w:val="20"/>
                <w:lang w:val="en-GB"/>
              </w:rPr>
              <w:t>Mitigation action 7</w:t>
            </w:r>
            <w:r w:rsidRPr="009B5B67">
              <w:rPr>
                <w:rFonts w:cs="Arial"/>
                <w:szCs w:val="20"/>
                <w:lang w:val="en-GB"/>
              </w:rPr>
              <w:fldChar w:fldCharType="end"/>
            </w:r>
            <w:r w:rsidRPr="009B5B67">
              <w:rPr>
                <w:rFonts w:cs="Arial"/>
                <w:szCs w:val="20"/>
                <w:lang w:val="en-GB"/>
              </w:rPr>
              <w:t>)</w:t>
            </w:r>
          </w:p>
        </w:tc>
      </w:tr>
      <w:tr w:rsidR="00AD3320" w:rsidRPr="009B5B67" w14:paraId="7798F7F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5B34D92"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1AB39CF4"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52CB215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26E52FE"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1D72A907"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55CB28D3" w14:textId="77777777" w:rsidR="00AD3320" w:rsidRPr="009B5B67"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4A6951C6" w14:textId="77777777" w:rsidTr="00AD3320">
        <w:trPr>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DEA0A28" w14:textId="0D8FDF3D" w:rsidR="00AD3320" w:rsidRPr="009B5B67" w:rsidRDefault="00AD3320" w:rsidP="00921736">
            <w:pPr>
              <w:spacing w:after="0"/>
              <w:rPr>
                <w:rFonts w:cs="Arial"/>
                <w:b/>
                <w:bCs/>
                <w:szCs w:val="20"/>
                <w:lang w:val="en-GB"/>
              </w:rPr>
            </w:pPr>
            <w:r w:rsidRPr="009B5B67">
              <w:rPr>
                <w:rFonts w:cs="Arial"/>
                <w:b/>
                <w:bCs/>
                <w:szCs w:val="20"/>
                <w:lang w:val="en-GB"/>
              </w:rPr>
              <w:t xml:space="preserve">Mitigation action </w:t>
            </w:r>
            <w:r w:rsidR="00921736" w:rsidRPr="00CB0790">
              <w:rPr>
                <w:rFonts w:cs="Arial"/>
                <w:b/>
                <w:szCs w:val="20"/>
                <w:lang w:val="en-GB"/>
              </w:rPr>
              <w:fldChar w:fldCharType="begin"/>
            </w:r>
            <w:r w:rsidR="00921736" w:rsidRPr="00CB0790">
              <w:rPr>
                <w:rFonts w:cs="Arial"/>
                <w:b/>
                <w:szCs w:val="20"/>
                <w:lang w:val="en-GB"/>
              </w:rPr>
              <w:instrText xml:space="preserve"> SEQ Mitigation_action \* ARABIC </w:instrText>
            </w:r>
            <w:r w:rsidR="00921736" w:rsidRPr="00CB0790">
              <w:rPr>
                <w:rFonts w:cs="Arial"/>
                <w:b/>
                <w:szCs w:val="20"/>
                <w:lang w:val="en-GB"/>
              </w:rPr>
              <w:fldChar w:fldCharType="separate"/>
            </w:r>
            <w:r w:rsidR="00921736">
              <w:rPr>
                <w:rFonts w:cs="Arial"/>
                <w:b/>
                <w:noProof/>
                <w:szCs w:val="20"/>
                <w:lang w:val="en-GB"/>
              </w:rPr>
              <w:t>10</w:t>
            </w:r>
            <w:r w:rsidR="00921736" w:rsidRPr="00CB0790">
              <w:rPr>
                <w:rFonts w:cs="Arial"/>
                <w:b/>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69482C3" w14:textId="77777777" w:rsidR="00AD3320" w:rsidRPr="009B5B67" w:rsidRDefault="00AD3320" w:rsidP="00AD3320">
            <w:pPr>
              <w:spacing w:after="0"/>
              <w:rPr>
                <w:rFonts w:cs="Arial"/>
                <w:b/>
                <w:bCs/>
                <w:szCs w:val="20"/>
                <w:lang w:val="en-GB"/>
              </w:rPr>
            </w:pPr>
            <w:r w:rsidRPr="009B5B67">
              <w:rPr>
                <w:rFonts w:cs="Arial"/>
                <w:b/>
                <w:bCs/>
                <w:szCs w:val="20"/>
                <w:lang w:val="en-GB"/>
              </w:rPr>
              <w:t>Renewal of the passenger fleet and promotion of sustainable passenger transport</w:t>
            </w:r>
          </w:p>
        </w:tc>
      </w:tr>
      <w:tr w:rsidR="00AD3320" w:rsidRPr="000324FE" w14:paraId="49D2F8C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572F817"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66A4580E" w14:textId="57824F9E" w:rsidR="00AD3320" w:rsidRPr="009B5B67" w:rsidRDefault="00AD3320" w:rsidP="00AD3320">
            <w:pPr>
              <w:spacing w:after="0"/>
              <w:rPr>
                <w:rFonts w:cs="Arial"/>
                <w:szCs w:val="20"/>
                <w:lang w:val="en-GB"/>
              </w:rPr>
            </w:pPr>
            <w:r w:rsidRPr="009B5B67">
              <w:rPr>
                <w:rFonts w:cs="Arial"/>
                <w:szCs w:val="20"/>
                <w:lang w:val="en-GB"/>
              </w:rPr>
              <w:t>This measure include</w:t>
            </w:r>
            <w:r w:rsidR="00075D19">
              <w:rPr>
                <w:rFonts w:cs="Arial"/>
                <w:szCs w:val="20"/>
                <w:lang w:val="en-GB"/>
              </w:rPr>
              <w:t>s</w:t>
            </w:r>
            <w:r w:rsidRPr="009B5B67">
              <w:rPr>
                <w:rFonts w:cs="Arial"/>
                <w:szCs w:val="20"/>
                <w:lang w:val="en-GB"/>
              </w:rPr>
              <w:t xml:space="preserve"> three areas of actions: Efficiency improvement of vehicle stock and usage of vehicles, Promotion of public transport and non-motorized transport and Promotion of usage of alternative fuels and biofuels aiming to: foster the penetration of low-CO</w:t>
            </w:r>
            <w:r w:rsidRPr="009B5B67">
              <w:rPr>
                <w:rFonts w:cs="Arial"/>
                <w:szCs w:val="20"/>
                <w:vertAlign w:val="subscript"/>
                <w:lang w:val="en-GB"/>
              </w:rPr>
              <w:t>2</w:t>
            </w:r>
            <w:r w:rsidRPr="009B5B67">
              <w:rPr>
                <w:rFonts w:cs="Arial"/>
                <w:szCs w:val="20"/>
                <w:lang w:val="en-GB"/>
              </w:rPr>
              <w:t xml:space="preserve"> passenger cars through relevant adjustment of legal framework and increased incentives, to increase the use of public transportation. This will contribute to limitation to the GHG emissions growth by 2030 and preparation of a legal framework to allow and support the 2</w:t>
            </w:r>
            <w:r w:rsidRPr="009B5B67">
              <w:rPr>
                <w:rFonts w:cs="Arial"/>
                <w:szCs w:val="20"/>
                <w:vertAlign w:val="superscript"/>
                <w:lang w:val="en-GB"/>
              </w:rPr>
              <w:t>nd</w:t>
            </w:r>
            <w:r w:rsidRPr="009B5B67">
              <w:rPr>
                <w:rFonts w:cs="Arial"/>
                <w:szCs w:val="20"/>
                <w:lang w:val="en-GB"/>
              </w:rPr>
              <w:t xml:space="preserve"> generation of biofuels to </w:t>
            </w:r>
            <w:proofErr w:type="gramStart"/>
            <w:r w:rsidRPr="009B5B67">
              <w:rPr>
                <w:rFonts w:cs="Arial"/>
                <w:szCs w:val="20"/>
                <w:lang w:val="en-GB"/>
              </w:rPr>
              <w:t>penetrate into</w:t>
            </w:r>
            <w:proofErr w:type="gramEnd"/>
            <w:r w:rsidRPr="009B5B67">
              <w:rPr>
                <w:rFonts w:cs="Arial"/>
                <w:szCs w:val="20"/>
                <w:lang w:val="en-GB"/>
              </w:rPr>
              <w:t xml:space="preserve"> Serbia’s transport fuel market</w:t>
            </w:r>
          </w:p>
        </w:tc>
      </w:tr>
      <w:tr w:rsidR="00AD3320" w:rsidRPr="000324FE" w14:paraId="2E51EFB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D9F1FD8"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1C957FBB" w14:textId="77777777" w:rsidR="00AD3320" w:rsidRPr="009B5B67" w:rsidRDefault="00AD3320" w:rsidP="00AD3320">
            <w:pPr>
              <w:spacing w:after="0"/>
              <w:rPr>
                <w:rFonts w:cs="Arial"/>
                <w:szCs w:val="20"/>
                <w:lang w:val="en-GB"/>
              </w:rPr>
            </w:pPr>
            <w:r w:rsidRPr="009B5B67">
              <w:rPr>
                <w:rFonts w:cs="Arial"/>
                <w:szCs w:val="20"/>
                <w:lang w:val="en-GB"/>
              </w:rPr>
              <w:t xml:space="preserve">Limit GHG emissions growth in transportation sector by 10% </w:t>
            </w:r>
          </w:p>
        </w:tc>
      </w:tr>
      <w:tr w:rsidR="00AD3320" w:rsidRPr="000324FE" w14:paraId="1B6C65F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8671874"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4621D81B" w14:textId="77777777" w:rsidR="00AD3320" w:rsidRPr="009B5B67" w:rsidRDefault="00AD3320" w:rsidP="00AD3320">
            <w:pPr>
              <w:spacing w:after="0"/>
              <w:rPr>
                <w:rFonts w:cs="Arial"/>
                <w:szCs w:val="20"/>
                <w:lang w:val="en-GB"/>
              </w:rPr>
            </w:pPr>
            <w:r w:rsidRPr="009B5B67">
              <w:rPr>
                <w:rFonts w:cs="Arial"/>
                <w:szCs w:val="20"/>
                <w:lang w:val="en-GB"/>
              </w:rPr>
              <w:t xml:space="preserve">Regulatory, Organizational-Governance-Institutional, Incentive </w:t>
            </w:r>
          </w:p>
        </w:tc>
      </w:tr>
      <w:tr w:rsidR="00AD3320" w:rsidRPr="009B5B67" w14:paraId="6E5D865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8908CA0"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4C6F8C13"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9B5B67" w14:paraId="32C21E5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4F7EF2F"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069F9274" w14:textId="77777777" w:rsidR="00AD3320" w:rsidRPr="009B5B67" w:rsidRDefault="00AD3320" w:rsidP="00AD3320">
            <w:pPr>
              <w:spacing w:after="0"/>
              <w:rPr>
                <w:rFonts w:cs="Arial"/>
                <w:szCs w:val="20"/>
                <w:lang w:val="en-GB"/>
              </w:rPr>
            </w:pPr>
            <w:r w:rsidRPr="009B5B67">
              <w:rPr>
                <w:rFonts w:cs="Arial"/>
                <w:szCs w:val="20"/>
                <w:lang w:val="en-GB"/>
              </w:rPr>
              <w:t>Road Transport</w:t>
            </w:r>
          </w:p>
        </w:tc>
      </w:tr>
      <w:tr w:rsidR="00AD3320" w:rsidRPr="009B5B67" w14:paraId="3BD3F63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C12E444"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5BCBFDC9"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2</w:t>
            </w:r>
            <w:proofErr w:type="gramStart"/>
            <w:r w:rsidRPr="009B5B67">
              <w:rPr>
                <w:rFonts w:cs="Arial"/>
                <w:szCs w:val="20"/>
                <w:vertAlign w:val="subscript"/>
                <w:lang w:val="en-GB"/>
              </w:rPr>
              <w:t xml:space="preserve">, </w:t>
            </w:r>
            <w:r w:rsidRPr="009B5B67">
              <w:rPr>
                <w:rFonts w:cs="Arial"/>
                <w:szCs w:val="20"/>
                <w:lang w:val="en-GB"/>
              </w:rPr>
              <w:t>,</w:t>
            </w:r>
            <w:proofErr w:type="gramEnd"/>
            <w:r w:rsidRPr="009B5B67">
              <w:rPr>
                <w:rFonts w:cs="Arial"/>
                <w:szCs w:val="20"/>
                <w:lang w:val="en-GB"/>
              </w:rPr>
              <w:t xml:space="preserve"> N</w:t>
            </w:r>
            <w:r w:rsidRPr="009B5B67">
              <w:rPr>
                <w:rFonts w:cs="Arial"/>
                <w:szCs w:val="20"/>
                <w:vertAlign w:val="subscript"/>
                <w:lang w:val="en-GB"/>
              </w:rPr>
              <w:t>2</w:t>
            </w:r>
            <w:r w:rsidRPr="009B5B67">
              <w:rPr>
                <w:rFonts w:cs="Arial"/>
                <w:szCs w:val="20"/>
                <w:lang w:val="en-GB"/>
              </w:rPr>
              <w:t>O</w:t>
            </w:r>
          </w:p>
        </w:tc>
      </w:tr>
      <w:tr w:rsidR="00AD3320" w:rsidRPr="009B5B67" w14:paraId="032DBC0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D9A636B"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36E4D0DF" w14:textId="77777777" w:rsidR="00AD3320" w:rsidRPr="009B5B67" w:rsidRDefault="00AD3320" w:rsidP="00AD3320">
            <w:pPr>
              <w:spacing w:after="0"/>
              <w:rPr>
                <w:rFonts w:cs="Arial"/>
                <w:szCs w:val="20"/>
                <w:lang w:val="en-GB"/>
              </w:rPr>
            </w:pPr>
            <w:r w:rsidRPr="009B5B67">
              <w:rPr>
                <w:rFonts w:cs="Arial"/>
                <w:szCs w:val="20"/>
                <w:lang w:val="en-GB"/>
              </w:rPr>
              <w:t>2021</w:t>
            </w:r>
          </w:p>
        </w:tc>
      </w:tr>
      <w:tr w:rsidR="00AD3320" w:rsidRPr="000324FE" w14:paraId="185F17B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C940BAD"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2690B43C" w14:textId="098EA297" w:rsidR="00AD3320" w:rsidRPr="009B5B67" w:rsidRDefault="00921736" w:rsidP="00AD3320">
            <w:pPr>
              <w:spacing w:after="0"/>
              <w:rPr>
                <w:rFonts w:cs="Arial"/>
                <w:szCs w:val="20"/>
                <w:lang w:val="en-GB"/>
              </w:rPr>
            </w:pPr>
            <w:r w:rsidRPr="00921736">
              <w:rPr>
                <w:rFonts w:cs="Arial"/>
                <w:szCs w:val="20"/>
                <w:lang w:val="en-GB"/>
              </w:rPr>
              <w:t xml:space="preserve">Ministry of Environmental Protection, Ministry of Finance; Ministry of Construction, </w:t>
            </w:r>
            <w:proofErr w:type="gramStart"/>
            <w:r w:rsidRPr="00921736">
              <w:rPr>
                <w:rFonts w:cs="Arial"/>
                <w:szCs w:val="20"/>
                <w:lang w:val="en-GB"/>
              </w:rPr>
              <w:t>Transport</w:t>
            </w:r>
            <w:proofErr w:type="gramEnd"/>
            <w:r w:rsidRPr="00921736">
              <w:rPr>
                <w:rFonts w:cs="Arial"/>
                <w:szCs w:val="20"/>
                <w:lang w:val="en-GB"/>
              </w:rPr>
              <w:t xml:space="preserve"> and Infrastructure; Ministry of Mining and Energy; Ministry of Economy, Chamber of Commerce and Industry of Serbia</w:t>
            </w:r>
          </w:p>
        </w:tc>
      </w:tr>
      <w:tr w:rsidR="00AD3320" w:rsidRPr="000324FE" w14:paraId="138EEFD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31E6FDD"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11B623FA" w14:textId="77777777" w:rsidR="00AD3320" w:rsidRPr="009B5B67" w:rsidRDefault="00AD3320" w:rsidP="00AD3320">
            <w:pPr>
              <w:spacing w:after="0"/>
              <w:rPr>
                <w:rFonts w:cs="Arial"/>
                <w:szCs w:val="20"/>
                <w:lang w:val="en-GB"/>
              </w:rPr>
            </w:pPr>
            <w:r w:rsidRPr="009B5B67">
              <w:rPr>
                <w:rFonts w:cs="Arial"/>
                <w:szCs w:val="20"/>
                <w:lang w:val="en-GB"/>
              </w:rPr>
              <w:t xml:space="preserve">Additional investment costs for consumers: 2262.9 Mio EUR. </w:t>
            </w:r>
          </w:p>
        </w:tc>
      </w:tr>
      <w:tr w:rsidR="00AD3320" w:rsidRPr="009B5B67" w14:paraId="0C93629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D950920" w14:textId="77777777" w:rsidR="00AD3320" w:rsidRPr="009B5B67" w:rsidRDefault="00AD3320" w:rsidP="00AD3320">
            <w:pPr>
              <w:spacing w:after="0"/>
              <w:rPr>
                <w:rFonts w:cs="Arial"/>
                <w:szCs w:val="20"/>
                <w:lang w:val="en-GB"/>
              </w:rPr>
            </w:pPr>
            <w:r w:rsidRPr="009B5B67">
              <w:rPr>
                <w:rFonts w:cs="Arial"/>
                <w:szCs w:val="20"/>
                <w:lang w:val="en-GB"/>
              </w:rPr>
              <w:lastRenderedPageBreak/>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098C0149" w14:textId="77777777" w:rsidR="00AD3320" w:rsidRPr="009B5B67" w:rsidRDefault="00AD3320" w:rsidP="00AD3320">
            <w:pPr>
              <w:spacing w:after="0"/>
              <w:rPr>
                <w:rFonts w:cs="Arial"/>
                <w:szCs w:val="20"/>
                <w:lang w:val="en-GB"/>
              </w:rPr>
            </w:pPr>
            <w:r w:rsidRPr="009B5B67">
              <w:rPr>
                <w:rFonts w:cs="Arial"/>
                <w:szCs w:val="20"/>
                <w:lang w:val="en-GB"/>
              </w:rPr>
              <w:t>Improve air quality</w:t>
            </w:r>
          </w:p>
          <w:p w14:paraId="5B19F18F" w14:textId="77777777" w:rsidR="00AD3320" w:rsidRPr="009B5B67" w:rsidRDefault="00AD3320" w:rsidP="00AD3320">
            <w:pPr>
              <w:spacing w:after="0"/>
              <w:rPr>
                <w:rFonts w:cs="Arial"/>
                <w:szCs w:val="20"/>
                <w:lang w:val="en-GB"/>
              </w:rPr>
            </w:pPr>
            <w:r w:rsidRPr="009B5B67">
              <w:rPr>
                <w:rFonts w:cs="Arial"/>
                <w:szCs w:val="20"/>
                <w:lang w:val="en-GB"/>
              </w:rPr>
              <w:t xml:space="preserve">Reduce impacts on health </w:t>
            </w:r>
          </w:p>
          <w:p w14:paraId="0D54E2F4" w14:textId="77777777" w:rsidR="00AD3320" w:rsidRPr="009B5B67" w:rsidRDefault="00AD3320" w:rsidP="00AD3320">
            <w:pPr>
              <w:spacing w:after="0"/>
              <w:rPr>
                <w:rFonts w:cs="Arial"/>
                <w:szCs w:val="20"/>
                <w:lang w:val="en-GB"/>
              </w:rPr>
            </w:pPr>
            <w:r w:rsidRPr="009B5B67">
              <w:rPr>
                <w:rFonts w:cs="Arial"/>
                <w:szCs w:val="20"/>
                <w:lang w:val="en-GB"/>
              </w:rPr>
              <w:t>Additional reduction in PM2,5</w:t>
            </w:r>
          </w:p>
        </w:tc>
      </w:tr>
      <w:tr w:rsidR="00AD3320" w:rsidRPr="000324FE" w14:paraId="77324E5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D3AEED0"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28E869DF" w14:textId="77777777" w:rsidR="00AD3320" w:rsidRPr="009B5B67" w:rsidRDefault="00AD3320" w:rsidP="00AD3320">
            <w:pPr>
              <w:spacing w:after="0"/>
              <w:rPr>
                <w:rFonts w:cs="Arial"/>
                <w:szCs w:val="20"/>
                <w:lang w:val="en-GB"/>
              </w:rPr>
            </w:pPr>
            <w:r w:rsidRPr="009B5B67">
              <w:rPr>
                <w:rFonts w:cs="Arial"/>
                <w:szCs w:val="20"/>
                <w:lang w:val="en-GB"/>
              </w:rPr>
              <w:t>Action shall be realized in combination with Mitigation action 10</w:t>
            </w:r>
          </w:p>
        </w:tc>
      </w:tr>
      <w:tr w:rsidR="00AD3320" w:rsidRPr="009B5B67" w14:paraId="4925825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FF4B154"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4943CD3D" w14:textId="74C6B3DB" w:rsidR="00AD3320" w:rsidRPr="009B5B67" w:rsidRDefault="00AD3320" w:rsidP="00AD3320">
            <w:pPr>
              <w:spacing w:after="0"/>
              <w:rPr>
                <w:rFonts w:cs="Arial"/>
                <w:szCs w:val="20"/>
                <w:lang w:val="en-GB"/>
              </w:rPr>
            </w:pPr>
            <w:r w:rsidRPr="009B5B67">
              <w:rPr>
                <w:rFonts w:cs="Arial"/>
                <w:szCs w:val="20"/>
                <w:lang w:val="en-GB"/>
              </w:rPr>
              <w:t>752 kt CO</w:t>
            </w:r>
            <w:r w:rsidRPr="009B5B67">
              <w:rPr>
                <w:rFonts w:cs="Arial"/>
                <w:szCs w:val="20"/>
                <w:vertAlign w:val="subscript"/>
                <w:lang w:val="en-GB"/>
              </w:rPr>
              <w:t>2</w:t>
            </w:r>
            <w:r w:rsidRPr="009B5B67">
              <w:rPr>
                <w:rFonts w:cs="Arial"/>
                <w:szCs w:val="20"/>
                <w:lang w:val="en-GB"/>
              </w:rPr>
              <w:t xml:space="preserve"> e</w:t>
            </w:r>
            <w:r w:rsidR="00075D19">
              <w:rPr>
                <w:rFonts w:cs="Arial"/>
                <w:szCs w:val="20"/>
                <w:lang w:val="en-GB"/>
              </w:rPr>
              <w:t>q.</w:t>
            </w:r>
          </w:p>
        </w:tc>
      </w:tr>
      <w:tr w:rsidR="00AD3320" w:rsidRPr="009B5B67" w14:paraId="0FE3DD3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F051925"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41A2715D"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2D68FE9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3AA7E6B"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2EC096E1"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2FFAEFCC" w14:textId="77777777" w:rsidR="00AD3320" w:rsidRPr="009B5B67" w:rsidRDefault="00AD3320" w:rsidP="00AD3320">
      <w:pPr>
        <w:spacing w:after="0"/>
        <w:rPr>
          <w:rFonts w:cs="Arial"/>
          <w:szCs w:val="20"/>
          <w:lang w:val="en-GB" w:eastAsia="de-DE"/>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343F99C4" w14:textId="77777777" w:rsidTr="00AD3320">
        <w:trPr>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8CE26E5" w14:textId="744AE982" w:rsidR="00AD3320" w:rsidRPr="009B5B67" w:rsidRDefault="00AD3320" w:rsidP="00AD3320">
            <w:pPr>
              <w:spacing w:after="0"/>
              <w:rPr>
                <w:rFonts w:cs="Arial"/>
                <w:b/>
                <w:bCs/>
                <w:szCs w:val="20"/>
                <w:lang w:val="en-GB"/>
              </w:rPr>
            </w:pPr>
            <w:r w:rsidRPr="009B5B67">
              <w:rPr>
                <w:rFonts w:cs="Arial"/>
                <w:b/>
                <w:bCs/>
                <w:szCs w:val="20"/>
                <w:lang w:val="en-GB"/>
              </w:rPr>
              <w:t xml:space="preserve">Mitigation action </w:t>
            </w:r>
            <w:r w:rsidRPr="009B5B67">
              <w:rPr>
                <w:rFonts w:cs="Arial"/>
                <w:szCs w:val="20"/>
                <w:lang w:val="en-GB"/>
              </w:rPr>
              <w:fldChar w:fldCharType="begin"/>
            </w:r>
            <w:r w:rsidRPr="009B5B67">
              <w:rPr>
                <w:rFonts w:cs="Arial"/>
                <w:b/>
                <w:bCs/>
                <w:szCs w:val="20"/>
                <w:lang w:val="en-GB"/>
              </w:rPr>
              <w:instrText xml:space="preserve"> SEQ Mitigation_action \* ARABIC </w:instrText>
            </w:r>
            <w:r w:rsidRPr="009B5B67">
              <w:rPr>
                <w:rFonts w:cs="Arial"/>
                <w:szCs w:val="20"/>
                <w:lang w:val="en-GB"/>
              </w:rPr>
              <w:fldChar w:fldCharType="separate"/>
            </w:r>
            <w:r w:rsidR="00921736">
              <w:rPr>
                <w:rFonts w:cs="Arial"/>
                <w:b/>
                <w:bCs/>
                <w:noProof/>
                <w:szCs w:val="20"/>
                <w:lang w:val="en-GB"/>
              </w:rPr>
              <w:t>11</w:t>
            </w:r>
            <w:r w:rsidRPr="009B5B67">
              <w:rPr>
                <w:rFonts w:cs="Arial"/>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7B70B77" w14:textId="77777777" w:rsidR="00AD3320" w:rsidRPr="009B5B67" w:rsidRDefault="00AD3320" w:rsidP="00AD3320">
            <w:pPr>
              <w:spacing w:after="0"/>
              <w:rPr>
                <w:rFonts w:cs="Arial"/>
                <w:b/>
                <w:bCs/>
                <w:szCs w:val="20"/>
                <w:lang w:val="en-GB"/>
              </w:rPr>
            </w:pPr>
            <w:r w:rsidRPr="009B5B67">
              <w:rPr>
                <w:rFonts w:cs="Arial"/>
                <w:b/>
                <w:bCs/>
                <w:szCs w:val="20"/>
                <w:lang w:val="en-GB"/>
              </w:rPr>
              <w:t>Renewal of the freight fleet and promotion of sustainable freight transport</w:t>
            </w:r>
          </w:p>
        </w:tc>
      </w:tr>
      <w:tr w:rsidR="00AD3320" w:rsidRPr="009B5B67" w14:paraId="6E76CB0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6FABD43"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5C3B6AA3" w14:textId="77777777" w:rsidR="00AD3320" w:rsidRPr="009B5B67" w:rsidRDefault="00AD3320" w:rsidP="00AD3320">
            <w:pPr>
              <w:spacing w:after="0"/>
              <w:rPr>
                <w:rFonts w:cs="Arial"/>
                <w:szCs w:val="20"/>
                <w:lang w:val="en-GB"/>
              </w:rPr>
            </w:pPr>
            <w:r w:rsidRPr="009B5B67">
              <w:rPr>
                <w:rFonts w:cs="Arial"/>
                <w:szCs w:val="20"/>
                <w:lang w:val="en-GB"/>
              </w:rPr>
              <w:t xml:space="preserve">Freight transport is necessary for economic growth and normally witnessing higher growth rates than GDP. As such, in a context where Serbia’s GDP will continue to grow and freight more than the GDP, it is important to find modalities to limit from this source, without necessarily limiting freight and growth. Therefore, </w:t>
            </w:r>
            <w:proofErr w:type="gramStart"/>
            <w:r w:rsidRPr="009B5B67">
              <w:rPr>
                <w:rFonts w:cs="Arial"/>
                <w:szCs w:val="20"/>
                <w:lang w:val="en-GB"/>
              </w:rPr>
              <w:t>in order to</w:t>
            </w:r>
            <w:proofErr w:type="gramEnd"/>
            <w:r w:rsidRPr="009B5B67">
              <w:rPr>
                <w:rFonts w:cs="Arial"/>
                <w:szCs w:val="20"/>
                <w:lang w:val="en-GB"/>
              </w:rPr>
              <w:t xml:space="preserve"> support promotion of sustainable freight transport it is important to implement modulation of yearly infrastructure charges for HDVs according to CO</w:t>
            </w:r>
            <w:r w:rsidRPr="009B5B67">
              <w:rPr>
                <w:rFonts w:cs="Arial"/>
                <w:szCs w:val="20"/>
                <w:vertAlign w:val="subscript"/>
                <w:lang w:val="en-GB"/>
              </w:rPr>
              <w:t>2</w:t>
            </w:r>
            <w:r w:rsidRPr="009B5B67">
              <w:rPr>
                <w:rFonts w:cs="Arial"/>
                <w:szCs w:val="20"/>
                <w:lang w:val="en-GB"/>
              </w:rPr>
              <w:t xml:space="preserve"> emission performance standards and implement road charging for freight vehicles based on EURO emission standard. The goal is to share freight transport on railways and waterways in total freight transport of 45%. For these fees needs to be ensured. </w:t>
            </w:r>
          </w:p>
        </w:tc>
      </w:tr>
      <w:tr w:rsidR="00AD3320" w:rsidRPr="000324FE" w14:paraId="7FDC3E2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E56AC65"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3E208006" w14:textId="77777777" w:rsidR="00AD3320" w:rsidRPr="009B5B67" w:rsidRDefault="00AD3320" w:rsidP="00AD3320">
            <w:pPr>
              <w:spacing w:after="0"/>
              <w:rPr>
                <w:rFonts w:cs="Arial"/>
                <w:szCs w:val="20"/>
                <w:lang w:val="en-GB"/>
              </w:rPr>
            </w:pPr>
            <w:r w:rsidRPr="009B5B67">
              <w:rPr>
                <w:rFonts w:cs="Arial"/>
                <w:szCs w:val="20"/>
                <w:lang w:val="en-GB"/>
              </w:rPr>
              <w:t>Limit GHG emissions growth in transportation sector by 10%</w:t>
            </w:r>
          </w:p>
        </w:tc>
      </w:tr>
      <w:tr w:rsidR="00AD3320" w:rsidRPr="009B5B67" w14:paraId="152C6E8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F48F4B9"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6CE12A9B" w14:textId="77777777" w:rsidR="00AD3320" w:rsidRPr="009B5B67" w:rsidRDefault="00AD3320" w:rsidP="00AD3320">
            <w:pPr>
              <w:spacing w:after="0"/>
              <w:rPr>
                <w:rFonts w:cs="Arial"/>
                <w:szCs w:val="20"/>
                <w:lang w:val="en-GB"/>
              </w:rPr>
            </w:pPr>
            <w:r w:rsidRPr="009B5B67">
              <w:rPr>
                <w:rFonts w:cs="Arial"/>
                <w:szCs w:val="20"/>
                <w:lang w:val="en-GB"/>
              </w:rPr>
              <w:t>Regulatory, Organizational-Governance-Institutional</w:t>
            </w:r>
          </w:p>
        </w:tc>
      </w:tr>
      <w:tr w:rsidR="00AD3320" w:rsidRPr="009B5B67" w14:paraId="5C8C6C3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497F772"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34FCAD2D"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9B5B67" w14:paraId="0E3C442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22158A6"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24528EC8" w14:textId="77777777" w:rsidR="00AD3320" w:rsidRPr="009B5B67" w:rsidRDefault="00AD3320" w:rsidP="00AD3320">
            <w:pPr>
              <w:spacing w:after="0"/>
              <w:rPr>
                <w:rFonts w:cs="Arial"/>
                <w:szCs w:val="20"/>
                <w:lang w:val="en-GB"/>
              </w:rPr>
            </w:pPr>
            <w:r w:rsidRPr="009B5B67">
              <w:rPr>
                <w:rFonts w:cs="Arial"/>
                <w:szCs w:val="20"/>
                <w:lang w:val="en-GB"/>
              </w:rPr>
              <w:t>Road Transport</w:t>
            </w:r>
          </w:p>
        </w:tc>
      </w:tr>
      <w:tr w:rsidR="00AD3320" w:rsidRPr="009B5B67" w14:paraId="24178BB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90F8088"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22C2BE9F"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 xml:space="preserve">2, </w:t>
            </w:r>
            <w:r w:rsidRPr="009B5B67">
              <w:rPr>
                <w:rFonts w:cs="Arial"/>
                <w:szCs w:val="20"/>
                <w:lang w:val="en-GB"/>
              </w:rPr>
              <w:t>N</w:t>
            </w:r>
            <w:r w:rsidRPr="009B5B67">
              <w:rPr>
                <w:rFonts w:cs="Arial"/>
                <w:szCs w:val="20"/>
                <w:vertAlign w:val="subscript"/>
                <w:lang w:val="en-GB"/>
              </w:rPr>
              <w:t>2</w:t>
            </w:r>
            <w:r w:rsidRPr="009B5B67">
              <w:rPr>
                <w:rFonts w:cs="Arial"/>
                <w:szCs w:val="20"/>
                <w:lang w:val="en-GB"/>
              </w:rPr>
              <w:t>O</w:t>
            </w:r>
          </w:p>
        </w:tc>
      </w:tr>
      <w:tr w:rsidR="00AD3320" w:rsidRPr="009B5B67" w14:paraId="744B61B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658B16B"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039B34F6" w14:textId="77777777" w:rsidR="00AD3320" w:rsidRPr="009B5B67" w:rsidRDefault="00AD3320" w:rsidP="00AD3320">
            <w:pPr>
              <w:spacing w:after="0"/>
              <w:rPr>
                <w:rFonts w:cs="Arial"/>
                <w:szCs w:val="20"/>
                <w:lang w:val="en-GB"/>
              </w:rPr>
            </w:pPr>
            <w:r w:rsidRPr="009B5B67">
              <w:rPr>
                <w:rFonts w:cs="Arial"/>
                <w:szCs w:val="20"/>
                <w:lang w:val="en-GB"/>
              </w:rPr>
              <w:t>2021</w:t>
            </w:r>
          </w:p>
        </w:tc>
      </w:tr>
      <w:tr w:rsidR="00AD3320" w:rsidRPr="000324FE" w14:paraId="33F63FF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AF1551F"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675B486C" w14:textId="77777777" w:rsidR="00AD3320" w:rsidRPr="009B5B67" w:rsidRDefault="00AD3320" w:rsidP="00AD3320">
            <w:pPr>
              <w:spacing w:after="0"/>
              <w:rPr>
                <w:rFonts w:cs="Arial"/>
                <w:szCs w:val="20"/>
                <w:lang w:val="en-GB"/>
              </w:rPr>
            </w:pPr>
            <w:r w:rsidRPr="009B5B67">
              <w:rPr>
                <w:rFonts w:cs="Arial"/>
                <w:szCs w:val="20"/>
                <w:lang w:val="en-GB"/>
              </w:rPr>
              <w:t xml:space="preserve">Ministry of Construction, </w:t>
            </w:r>
            <w:proofErr w:type="gramStart"/>
            <w:r w:rsidRPr="009B5B67">
              <w:rPr>
                <w:rFonts w:cs="Arial"/>
                <w:szCs w:val="20"/>
                <w:lang w:val="en-GB"/>
              </w:rPr>
              <w:t>Transport</w:t>
            </w:r>
            <w:proofErr w:type="gramEnd"/>
            <w:r w:rsidRPr="009B5B67">
              <w:rPr>
                <w:rFonts w:cs="Arial"/>
                <w:szCs w:val="20"/>
                <w:lang w:val="en-GB"/>
              </w:rPr>
              <w:t xml:space="preserve"> and Infrastructure</w:t>
            </w:r>
          </w:p>
        </w:tc>
      </w:tr>
      <w:tr w:rsidR="00AD3320" w:rsidRPr="009B5B67" w14:paraId="174E6153"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9017DD8" w14:textId="77777777" w:rsidR="00AD3320" w:rsidRPr="009B5B67" w:rsidRDefault="00AD3320" w:rsidP="00AD3320">
            <w:pPr>
              <w:spacing w:after="0"/>
              <w:rPr>
                <w:rFonts w:cs="Arial"/>
                <w:szCs w:val="20"/>
                <w:lang w:val="en-GB"/>
              </w:rPr>
            </w:pPr>
            <w:r w:rsidRPr="009B5B67">
              <w:rPr>
                <w:rFonts w:cs="Arial"/>
                <w:szCs w:val="20"/>
                <w:lang w:val="en-GB"/>
              </w:rPr>
              <w:lastRenderedPageBreak/>
              <w:t>Costs</w:t>
            </w:r>
          </w:p>
        </w:tc>
        <w:tc>
          <w:tcPr>
            <w:tcW w:w="9498" w:type="dxa"/>
            <w:tcBorders>
              <w:top w:val="single" w:sz="4" w:space="0" w:color="auto"/>
              <w:left w:val="single" w:sz="4" w:space="0" w:color="auto"/>
              <w:bottom w:val="single" w:sz="4" w:space="0" w:color="auto"/>
              <w:right w:val="single" w:sz="4" w:space="0" w:color="auto"/>
            </w:tcBorders>
            <w:hideMark/>
          </w:tcPr>
          <w:p w14:paraId="19456C09" w14:textId="77777777" w:rsidR="00AD3320" w:rsidRPr="009B5B67" w:rsidRDefault="00AD3320" w:rsidP="00AD3320">
            <w:pPr>
              <w:spacing w:after="0"/>
              <w:rPr>
                <w:rFonts w:cs="Arial"/>
                <w:szCs w:val="20"/>
                <w:lang w:val="en-GB"/>
              </w:rPr>
            </w:pPr>
            <w:r w:rsidRPr="009B5B67">
              <w:rPr>
                <w:rFonts w:cs="Arial"/>
                <w:szCs w:val="20"/>
                <w:lang w:val="en-GB"/>
              </w:rPr>
              <w:t xml:space="preserve">Additional investment costs for investors: 388 Mio. EUR, </w:t>
            </w:r>
          </w:p>
        </w:tc>
      </w:tr>
      <w:tr w:rsidR="00AD3320" w:rsidRPr="000324FE" w14:paraId="03F67CA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4F86EA4"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39B959FA" w14:textId="77777777" w:rsidR="00AD3320" w:rsidRPr="009B5B67" w:rsidRDefault="00AD3320" w:rsidP="00AD3320">
            <w:pPr>
              <w:spacing w:after="0"/>
              <w:rPr>
                <w:rFonts w:cs="Arial"/>
                <w:szCs w:val="20"/>
                <w:lang w:val="en-GB"/>
              </w:rPr>
            </w:pPr>
            <w:r w:rsidRPr="009B5B67">
              <w:rPr>
                <w:rFonts w:cs="Arial"/>
                <w:szCs w:val="20"/>
                <w:lang w:val="en-GB"/>
              </w:rPr>
              <w:t>Improve air quality</w:t>
            </w:r>
          </w:p>
          <w:p w14:paraId="16BDA1D7" w14:textId="77777777" w:rsidR="00AD3320" w:rsidRPr="009B5B67" w:rsidRDefault="00AD3320" w:rsidP="00AD3320">
            <w:pPr>
              <w:spacing w:after="0"/>
              <w:rPr>
                <w:rFonts w:cs="Arial"/>
                <w:szCs w:val="20"/>
                <w:lang w:val="en-GB"/>
              </w:rPr>
            </w:pPr>
            <w:r w:rsidRPr="009B5B67">
              <w:rPr>
                <w:rFonts w:cs="Arial"/>
                <w:szCs w:val="20"/>
                <w:lang w:val="en-GB"/>
              </w:rPr>
              <w:t xml:space="preserve">Reduce impacts on health </w:t>
            </w:r>
          </w:p>
        </w:tc>
      </w:tr>
      <w:tr w:rsidR="00AD3320" w:rsidRPr="000324FE" w14:paraId="0E64A4D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2194B25"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3F64858F" w14:textId="77777777" w:rsidR="00AD3320" w:rsidRPr="009B5B67" w:rsidRDefault="00AD3320" w:rsidP="00AD3320">
            <w:pPr>
              <w:spacing w:after="0"/>
              <w:rPr>
                <w:rFonts w:cs="Arial"/>
                <w:szCs w:val="20"/>
                <w:lang w:val="en-GB"/>
              </w:rPr>
            </w:pPr>
            <w:r w:rsidRPr="009B5B67">
              <w:rPr>
                <w:rFonts w:cs="Arial"/>
                <w:szCs w:val="20"/>
                <w:lang w:val="en-GB"/>
              </w:rPr>
              <w:t>Action shall be realized in combination with Mitigation action 9</w:t>
            </w:r>
          </w:p>
        </w:tc>
      </w:tr>
      <w:tr w:rsidR="00AD3320" w:rsidRPr="009B5B67" w14:paraId="2EFE783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6151A3C"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329C3DE0" w14:textId="77777777" w:rsidR="00AD3320" w:rsidRPr="009B5B67" w:rsidRDefault="00AD3320" w:rsidP="00AD3320">
            <w:pPr>
              <w:spacing w:after="0"/>
              <w:rPr>
                <w:rFonts w:cs="Arial"/>
                <w:szCs w:val="20"/>
                <w:lang w:val="en-GB"/>
              </w:rPr>
            </w:pPr>
            <w:r w:rsidRPr="009B5B67">
              <w:rPr>
                <w:rFonts w:cs="Arial"/>
                <w:szCs w:val="20"/>
                <w:lang w:val="en-GB"/>
              </w:rPr>
              <w:t>156 kt CO</w:t>
            </w:r>
            <w:r w:rsidRPr="009B5B67">
              <w:rPr>
                <w:rFonts w:cs="Arial"/>
                <w:szCs w:val="20"/>
                <w:vertAlign w:val="subscript"/>
                <w:lang w:val="en-GB"/>
              </w:rPr>
              <w:t>2</w:t>
            </w:r>
            <w:r w:rsidRPr="009B5B67">
              <w:rPr>
                <w:rFonts w:cs="Arial"/>
                <w:szCs w:val="20"/>
                <w:lang w:val="en-GB"/>
              </w:rPr>
              <w:t xml:space="preserve"> </w:t>
            </w:r>
            <w:proofErr w:type="spellStart"/>
            <w:r w:rsidRPr="009B5B67">
              <w:rPr>
                <w:rFonts w:cs="Arial"/>
                <w:szCs w:val="20"/>
                <w:lang w:val="en-GB"/>
              </w:rPr>
              <w:t>eq</w:t>
            </w:r>
            <w:proofErr w:type="spellEnd"/>
          </w:p>
        </w:tc>
      </w:tr>
      <w:tr w:rsidR="00AD3320" w:rsidRPr="009B5B67" w14:paraId="10C8ECE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355C404"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3C4DD3F3"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22AAC80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735AC78"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31263ACE"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0CC9850D" w14:textId="1FC379BB" w:rsidR="00AD3320"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8D35C3" w:rsidRPr="000324FE" w14:paraId="322D923C" w14:textId="77777777" w:rsidTr="00790A00">
        <w:trPr>
          <w:trHeight w:val="408"/>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BDD3FD6" w14:textId="35FA5BA1" w:rsidR="008D35C3" w:rsidRPr="009B5B67" w:rsidRDefault="008D35C3" w:rsidP="00790A00">
            <w:pPr>
              <w:spacing w:after="0"/>
              <w:rPr>
                <w:rFonts w:cs="Arial"/>
                <w:b/>
                <w:bCs/>
                <w:szCs w:val="20"/>
                <w:lang w:val="en-GB"/>
              </w:rPr>
            </w:pPr>
            <w:r w:rsidRPr="009B5B67">
              <w:rPr>
                <w:rFonts w:cs="Arial"/>
                <w:b/>
                <w:bCs/>
                <w:szCs w:val="20"/>
                <w:lang w:val="en-GB"/>
              </w:rPr>
              <w:t xml:space="preserve">Mitigation action </w:t>
            </w:r>
            <w:r w:rsidRPr="009B5B67">
              <w:rPr>
                <w:rFonts w:cs="Arial"/>
                <w:b/>
                <w:bCs/>
                <w:szCs w:val="20"/>
                <w:lang w:val="en-GB"/>
              </w:rPr>
              <w:fldChar w:fldCharType="begin"/>
            </w:r>
            <w:r w:rsidRPr="009B5B67">
              <w:rPr>
                <w:rFonts w:cs="Arial"/>
                <w:b/>
                <w:bCs/>
                <w:szCs w:val="20"/>
                <w:lang w:val="en-GB"/>
              </w:rPr>
              <w:instrText xml:space="preserve"> SEQ Mitigation_action \* ARABIC </w:instrText>
            </w:r>
            <w:r w:rsidRPr="009B5B67">
              <w:rPr>
                <w:rFonts w:cs="Arial"/>
                <w:b/>
                <w:bCs/>
                <w:szCs w:val="20"/>
                <w:lang w:val="en-GB"/>
              </w:rPr>
              <w:fldChar w:fldCharType="separate"/>
            </w:r>
            <w:r>
              <w:rPr>
                <w:rFonts w:cs="Arial"/>
                <w:b/>
                <w:bCs/>
                <w:noProof/>
                <w:szCs w:val="20"/>
                <w:lang w:val="en-GB"/>
              </w:rPr>
              <w:t>12</w:t>
            </w:r>
            <w:r w:rsidRPr="009B5B67">
              <w:rPr>
                <w:rFonts w:cs="Arial"/>
                <w:b/>
                <w:bCs/>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1E6E6B6" w14:textId="77777777" w:rsidR="008D35C3" w:rsidRPr="009B5B67" w:rsidRDefault="008D35C3" w:rsidP="00790A00">
            <w:pPr>
              <w:spacing w:after="0"/>
              <w:rPr>
                <w:rFonts w:cs="Arial"/>
                <w:b/>
                <w:bCs/>
                <w:szCs w:val="20"/>
                <w:lang w:val="en-GB"/>
              </w:rPr>
            </w:pPr>
            <w:r w:rsidRPr="00D650ED">
              <w:rPr>
                <w:rFonts w:cs="Arial"/>
                <w:b/>
                <w:bCs/>
                <w:szCs w:val="20"/>
                <w:lang w:val="en-GB"/>
              </w:rPr>
              <w:t>Implementation of the F-gas regulation and MACs directive</w:t>
            </w:r>
          </w:p>
        </w:tc>
      </w:tr>
      <w:tr w:rsidR="008D35C3" w:rsidRPr="000324FE" w14:paraId="199C1E5D"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194FD187" w14:textId="77777777" w:rsidR="008D35C3" w:rsidRPr="009B5B67" w:rsidRDefault="008D35C3" w:rsidP="00790A0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051BA8B7" w14:textId="77777777" w:rsidR="008D35C3" w:rsidRPr="008D35C3" w:rsidRDefault="008D35C3" w:rsidP="008D35C3">
            <w:pPr>
              <w:spacing w:after="0"/>
              <w:rPr>
                <w:rFonts w:cs="Arial"/>
                <w:szCs w:val="20"/>
                <w:lang w:val="en-GB"/>
              </w:rPr>
            </w:pPr>
            <w:r w:rsidRPr="008D35C3">
              <w:rPr>
                <w:rFonts w:cs="Arial"/>
                <w:szCs w:val="20"/>
                <w:lang w:val="en-GB"/>
              </w:rPr>
              <w:t>• Service and maintenance bans: Limits on the use of higher GWP gases, such as R404A and R507A, in existing refrigeration equipment with a charge size of 40 tonnes of CO</w:t>
            </w:r>
            <w:r w:rsidRPr="008D35C3">
              <w:rPr>
                <w:rFonts w:cs="Arial"/>
                <w:szCs w:val="20"/>
                <w:vertAlign w:val="subscript"/>
                <w:lang w:val="en-GB"/>
              </w:rPr>
              <w:t>2</w:t>
            </w:r>
            <w:r w:rsidRPr="008D35C3">
              <w:rPr>
                <w:rFonts w:cs="Arial"/>
                <w:szCs w:val="20"/>
                <w:lang w:val="en-GB"/>
              </w:rPr>
              <w:t xml:space="preserve"> equivalent or more will be considered from 2020. If charge size is lower than 40 tonnes of CO</w:t>
            </w:r>
            <w:r w:rsidRPr="008D35C3">
              <w:rPr>
                <w:rFonts w:cs="Arial"/>
                <w:szCs w:val="20"/>
                <w:vertAlign w:val="subscript"/>
                <w:lang w:val="en-GB"/>
              </w:rPr>
              <w:t>2</w:t>
            </w:r>
            <w:r w:rsidRPr="008D35C3">
              <w:rPr>
                <w:rFonts w:cs="Arial"/>
                <w:szCs w:val="20"/>
                <w:lang w:val="en-GB"/>
              </w:rPr>
              <w:t xml:space="preserve"> equivalent R404A is allowed to be used.</w:t>
            </w:r>
          </w:p>
          <w:p w14:paraId="1124245D" w14:textId="77777777" w:rsidR="008D35C3" w:rsidRPr="008D35C3" w:rsidRDefault="008D35C3" w:rsidP="008D35C3">
            <w:pPr>
              <w:spacing w:after="0"/>
              <w:rPr>
                <w:rFonts w:cs="Arial"/>
                <w:szCs w:val="20"/>
                <w:lang w:val="en-GB"/>
              </w:rPr>
            </w:pPr>
            <w:r w:rsidRPr="008D35C3">
              <w:rPr>
                <w:rFonts w:cs="Arial"/>
                <w:szCs w:val="20"/>
                <w:lang w:val="en-GB"/>
              </w:rPr>
              <w:t>• For Equipment with a charge size of 40 tonnes of CO</w:t>
            </w:r>
            <w:r w:rsidRPr="008D35C3">
              <w:rPr>
                <w:rFonts w:cs="Arial"/>
                <w:szCs w:val="20"/>
                <w:vertAlign w:val="subscript"/>
                <w:lang w:val="en-GB"/>
              </w:rPr>
              <w:t>2</w:t>
            </w:r>
            <w:r w:rsidRPr="008D35C3">
              <w:rPr>
                <w:rFonts w:cs="Arial"/>
                <w:szCs w:val="20"/>
                <w:lang w:val="en-GB"/>
              </w:rPr>
              <w:t xml:space="preserve"> equivalent a regenerated R404A can be used by 2030. Equipment retrofit is allowed for switching to R448A, R449A and R452A in accordance with restrictions as contained in f-gas regulation </w:t>
            </w:r>
          </w:p>
          <w:p w14:paraId="2625F7B2" w14:textId="3293B9E2" w:rsidR="008D35C3" w:rsidRPr="009B5B67" w:rsidRDefault="008D35C3" w:rsidP="008D35C3">
            <w:pPr>
              <w:spacing w:after="0"/>
              <w:rPr>
                <w:rFonts w:cs="Arial"/>
                <w:szCs w:val="20"/>
                <w:lang w:val="en-GB"/>
              </w:rPr>
            </w:pPr>
            <w:r w:rsidRPr="008D35C3">
              <w:rPr>
                <w:rFonts w:cs="Arial"/>
                <w:szCs w:val="20"/>
                <w:lang w:val="en-GB"/>
              </w:rPr>
              <w:t xml:space="preserve">Furthermore F-gas emissions from mobile air conditioning (MACs) in EU are regulated through Directive 2006/40/EC on mobile air conditioners. It is being enforced over three phases, starting in 2008. Second stage was that air conditioning systems in new vehicle types had to be filled with gases with a GWP lower than 150. From 2017 onwards, this applies to all new air-conditioned vehicles put on the EU market. </w:t>
            </w:r>
            <w:proofErr w:type="gramStart"/>
            <w:r w:rsidRPr="008D35C3">
              <w:rPr>
                <w:rFonts w:cs="Arial"/>
                <w:szCs w:val="20"/>
                <w:lang w:val="en-GB"/>
              </w:rPr>
              <w:t>Despite the fact that</w:t>
            </w:r>
            <w:proofErr w:type="gramEnd"/>
            <w:r w:rsidRPr="008D35C3">
              <w:rPr>
                <w:rFonts w:cs="Arial"/>
                <w:szCs w:val="20"/>
                <w:lang w:val="en-GB"/>
              </w:rPr>
              <w:t xml:space="preserve"> MACs Directive has not been yet transposed into Serbian legal system, it is being in practice implemented by EU automotive industry operating in Serbia in order to ensure conformity of its products with EU standards</w:t>
            </w:r>
          </w:p>
        </w:tc>
      </w:tr>
      <w:tr w:rsidR="008D35C3" w:rsidRPr="000324FE" w14:paraId="67EB5C05"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1545A031" w14:textId="77777777" w:rsidR="008D35C3" w:rsidRPr="009B5B67" w:rsidRDefault="008D35C3" w:rsidP="00790A0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2B1F3971" w14:textId="77777777" w:rsidR="008D35C3" w:rsidRPr="009B5B67" w:rsidRDefault="008D35C3" w:rsidP="00790A00">
            <w:pPr>
              <w:spacing w:after="0"/>
              <w:rPr>
                <w:rFonts w:cs="Arial"/>
                <w:szCs w:val="20"/>
                <w:lang w:val="en-GB"/>
              </w:rPr>
            </w:pPr>
            <w:r w:rsidRPr="00F46230">
              <w:rPr>
                <w:rFonts w:cs="Arial"/>
                <w:szCs w:val="20"/>
                <w:lang w:val="en-GB"/>
              </w:rPr>
              <w:t>Limit GHG emissions growth from industrial processes and product use by 7% by 2030 compared to 2010</w:t>
            </w:r>
          </w:p>
        </w:tc>
      </w:tr>
      <w:tr w:rsidR="008D35C3" w:rsidRPr="009B5B67" w14:paraId="784F3566"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4B361FF4" w14:textId="77777777" w:rsidR="008D35C3" w:rsidRPr="009B5B67" w:rsidRDefault="008D35C3" w:rsidP="00790A0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7674C24F" w14:textId="5C7D75FE" w:rsidR="008D35C3" w:rsidRPr="009B5B67" w:rsidRDefault="008D35C3" w:rsidP="00790A00">
            <w:pPr>
              <w:spacing w:after="0"/>
              <w:rPr>
                <w:rFonts w:cs="Arial"/>
                <w:szCs w:val="20"/>
                <w:lang w:val="en-GB"/>
              </w:rPr>
            </w:pPr>
            <w:r w:rsidRPr="009B5B67">
              <w:rPr>
                <w:rFonts w:cs="Arial"/>
                <w:szCs w:val="20"/>
                <w:lang w:val="en-GB"/>
              </w:rPr>
              <w:t>Regulatory</w:t>
            </w:r>
            <w:r>
              <w:rPr>
                <w:rFonts w:cs="Arial"/>
                <w:szCs w:val="20"/>
                <w:lang w:val="en-GB"/>
              </w:rPr>
              <w:t xml:space="preserve">, </w:t>
            </w:r>
            <w:r w:rsidRPr="008D35C3">
              <w:rPr>
                <w:rFonts w:cs="Arial"/>
                <w:szCs w:val="20"/>
                <w:lang w:val="en-GB"/>
              </w:rPr>
              <w:t>informational-educational</w:t>
            </w:r>
          </w:p>
        </w:tc>
      </w:tr>
      <w:tr w:rsidR="008D35C3" w:rsidRPr="009B5B67" w14:paraId="6EEF2D91"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11C08F0E" w14:textId="77777777" w:rsidR="008D35C3" w:rsidRPr="009B5B67" w:rsidRDefault="008D35C3" w:rsidP="00790A00">
            <w:pPr>
              <w:spacing w:after="0"/>
              <w:rPr>
                <w:rFonts w:cs="Arial"/>
                <w:szCs w:val="20"/>
                <w:lang w:val="en-GB"/>
              </w:rPr>
            </w:pPr>
            <w:r w:rsidRPr="009B5B67">
              <w:rPr>
                <w:rFonts w:cs="Arial"/>
                <w:szCs w:val="20"/>
                <w:lang w:val="en-GB"/>
              </w:rPr>
              <w:lastRenderedPageBreak/>
              <w:t>Status</w:t>
            </w:r>
          </w:p>
        </w:tc>
        <w:tc>
          <w:tcPr>
            <w:tcW w:w="9498" w:type="dxa"/>
            <w:tcBorders>
              <w:top w:val="single" w:sz="4" w:space="0" w:color="auto"/>
              <w:left w:val="single" w:sz="4" w:space="0" w:color="auto"/>
              <w:bottom w:val="single" w:sz="4" w:space="0" w:color="auto"/>
              <w:right w:val="single" w:sz="4" w:space="0" w:color="auto"/>
            </w:tcBorders>
            <w:hideMark/>
          </w:tcPr>
          <w:p w14:paraId="233CCF73" w14:textId="77777777" w:rsidR="008D35C3" w:rsidRPr="009B5B67" w:rsidRDefault="008D35C3" w:rsidP="00790A00">
            <w:pPr>
              <w:spacing w:after="0"/>
              <w:rPr>
                <w:rFonts w:cs="Arial"/>
                <w:szCs w:val="20"/>
                <w:lang w:val="en-GB"/>
              </w:rPr>
            </w:pPr>
            <w:r w:rsidRPr="009B5B67">
              <w:rPr>
                <w:rFonts w:cs="Arial"/>
                <w:szCs w:val="20"/>
                <w:lang w:val="en-GB"/>
              </w:rPr>
              <w:t>Planned</w:t>
            </w:r>
          </w:p>
        </w:tc>
      </w:tr>
      <w:tr w:rsidR="008D35C3" w:rsidRPr="00F46230" w14:paraId="0D34DD5D"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68B3F5C1" w14:textId="77777777" w:rsidR="008D35C3" w:rsidRPr="009B5B67" w:rsidRDefault="008D35C3" w:rsidP="00790A0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5AE7E479" w14:textId="77777777" w:rsidR="008D35C3" w:rsidRPr="009B5B67" w:rsidRDefault="008D35C3" w:rsidP="00790A00">
            <w:pPr>
              <w:spacing w:after="0"/>
              <w:rPr>
                <w:rFonts w:cs="Arial"/>
                <w:szCs w:val="20"/>
                <w:lang w:val="en-GB"/>
              </w:rPr>
            </w:pPr>
            <w:r>
              <w:rPr>
                <w:rFonts w:cs="Arial"/>
                <w:szCs w:val="20"/>
                <w:lang w:val="en-GB"/>
              </w:rPr>
              <w:t>IPPU</w:t>
            </w:r>
          </w:p>
        </w:tc>
      </w:tr>
      <w:tr w:rsidR="008D35C3" w:rsidRPr="009B5B67" w14:paraId="04A55F4A"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401CDF60" w14:textId="77777777" w:rsidR="008D35C3" w:rsidRPr="009B5B67" w:rsidRDefault="008D35C3" w:rsidP="00790A0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2EB22E42" w14:textId="1294B433" w:rsidR="008D35C3" w:rsidRPr="009B5B67" w:rsidRDefault="008D35C3" w:rsidP="00790A00">
            <w:pPr>
              <w:spacing w:after="0"/>
              <w:rPr>
                <w:rFonts w:cs="Arial"/>
                <w:szCs w:val="20"/>
                <w:lang w:val="en-GB"/>
              </w:rPr>
            </w:pPr>
            <w:r>
              <w:rPr>
                <w:rFonts w:cs="Arial"/>
                <w:szCs w:val="20"/>
                <w:lang w:val="en-GB"/>
              </w:rPr>
              <w:t>HFC, SF6</w:t>
            </w:r>
          </w:p>
        </w:tc>
      </w:tr>
      <w:tr w:rsidR="008D35C3" w:rsidRPr="000324FE" w14:paraId="6978EF1F"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57454E08" w14:textId="77777777" w:rsidR="008D35C3" w:rsidRPr="009B5B67" w:rsidRDefault="008D35C3" w:rsidP="00790A0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18CF72EF" w14:textId="77777777" w:rsidR="008D35C3" w:rsidRPr="009B5B67" w:rsidRDefault="008D35C3" w:rsidP="00790A00">
            <w:pPr>
              <w:spacing w:after="0"/>
              <w:rPr>
                <w:rFonts w:cs="Arial"/>
                <w:szCs w:val="20"/>
                <w:lang w:val="en-GB"/>
              </w:rPr>
            </w:pPr>
            <w:r>
              <w:rPr>
                <w:rFonts w:cs="Arial"/>
                <w:szCs w:val="20"/>
                <w:lang w:val="en-GB"/>
              </w:rPr>
              <w:t xml:space="preserve">2020 (F gas regulation), </w:t>
            </w:r>
            <w:r w:rsidRPr="009B5B67">
              <w:rPr>
                <w:rFonts w:cs="Arial"/>
                <w:szCs w:val="20"/>
                <w:lang w:val="en-GB"/>
              </w:rPr>
              <w:t>2021</w:t>
            </w:r>
            <w:r>
              <w:rPr>
                <w:rFonts w:cs="Arial"/>
                <w:szCs w:val="20"/>
                <w:lang w:val="en-GB"/>
              </w:rPr>
              <w:t xml:space="preserve"> (MAC Directive)</w:t>
            </w:r>
          </w:p>
        </w:tc>
      </w:tr>
      <w:tr w:rsidR="008D35C3" w:rsidRPr="000324FE" w14:paraId="09747D57"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5F7A7038" w14:textId="77777777" w:rsidR="008D35C3" w:rsidRPr="009B5B67" w:rsidRDefault="008D35C3" w:rsidP="00790A0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77300D20" w14:textId="5663AC3F" w:rsidR="008D35C3" w:rsidRPr="009B5B67" w:rsidRDefault="008D35C3" w:rsidP="00790A00">
            <w:pPr>
              <w:spacing w:after="0"/>
              <w:rPr>
                <w:rFonts w:cs="Arial"/>
                <w:szCs w:val="20"/>
                <w:lang w:val="en-GB"/>
              </w:rPr>
            </w:pPr>
            <w:r w:rsidRPr="009B5B67">
              <w:rPr>
                <w:rFonts w:cs="Arial"/>
                <w:szCs w:val="20"/>
                <w:lang w:val="en-GB"/>
              </w:rPr>
              <w:t xml:space="preserve">Ministry for </w:t>
            </w:r>
            <w:r>
              <w:rPr>
                <w:rFonts w:cs="Arial"/>
                <w:szCs w:val="20"/>
                <w:lang w:val="en-GB"/>
              </w:rPr>
              <w:t xml:space="preserve">Environment Protection, </w:t>
            </w:r>
            <w:r w:rsidRPr="008D35C3">
              <w:rPr>
                <w:rFonts w:cs="Arial"/>
                <w:szCs w:val="20"/>
                <w:lang w:val="en-GB"/>
              </w:rPr>
              <w:t xml:space="preserve">Ministry of Economy, Chamber of </w:t>
            </w:r>
            <w:proofErr w:type="gramStart"/>
            <w:r w:rsidRPr="008D35C3">
              <w:rPr>
                <w:rFonts w:cs="Arial"/>
                <w:szCs w:val="20"/>
                <w:lang w:val="en-GB"/>
              </w:rPr>
              <w:t>Commerce</w:t>
            </w:r>
            <w:proofErr w:type="gramEnd"/>
            <w:r w:rsidRPr="008D35C3">
              <w:rPr>
                <w:rFonts w:cs="Arial"/>
                <w:szCs w:val="20"/>
                <w:lang w:val="en-GB"/>
              </w:rPr>
              <w:t xml:space="preserve"> and Industry of Serbia</w:t>
            </w:r>
          </w:p>
        </w:tc>
      </w:tr>
      <w:tr w:rsidR="008D35C3" w:rsidRPr="00F46230" w14:paraId="1C6C895B"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54F917B2" w14:textId="77777777" w:rsidR="008D35C3" w:rsidRPr="009B5B67" w:rsidRDefault="008D35C3" w:rsidP="00790A0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730EDE21" w14:textId="50AB46BD" w:rsidR="008D35C3" w:rsidRPr="008D35C3" w:rsidRDefault="008D35C3" w:rsidP="00790A00">
            <w:pPr>
              <w:spacing w:after="0"/>
              <w:rPr>
                <w:rFonts w:cs="Arial"/>
                <w:szCs w:val="20"/>
                <w:lang w:val="en-GB"/>
              </w:rPr>
            </w:pPr>
            <w:r w:rsidRPr="008D35C3">
              <w:rPr>
                <w:rFonts w:cs="Arial"/>
                <w:szCs w:val="20"/>
                <w:lang w:val="en-GB"/>
              </w:rPr>
              <w:t>The investment costs: 4,6 Mio. EURO; EU and other funds: 0,5 Mio. EURO</w:t>
            </w:r>
          </w:p>
        </w:tc>
      </w:tr>
      <w:tr w:rsidR="008D35C3" w:rsidRPr="00F46230" w14:paraId="58D5DE4D"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0ADE3B28" w14:textId="77777777" w:rsidR="008D35C3" w:rsidRPr="009B5B67" w:rsidRDefault="008D35C3" w:rsidP="00790A0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0A9031DF" w14:textId="4546737F" w:rsidR="008D35C3" w:rsidRPr="009B5B67" w:rsidRDefault="008D35C3" w:rsidP="00790A00">
            <w:pPr>
              <w:spacing w:after="0"/>
              <w:rPr>
                <w:rFonts w:cs="Arial"/>
                <w:szCs w:val="20"/>
                <w:lang w:val="en-GB"/>
              </w:rPr>
            </w:pPr>
            <w:r>
              <w:rPr>
                <w:rFonts w:cs="Arial"/>
                <w:szCs w:val="20"/>
                <w:lang w:val="en-GB"/>
              </w:rPr>
              <w:t>Increased air quality</w:t>
            </w:r>
          </w:p>
        </w:tc>
      </w:tr>
      <w:tr w:rsidR="008D35C3" w:rsidRPr="004D4E8A" w14:paraId="61E4595A"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1FBE02D8" w14:textId="77777777" w:rsidR="008D35C3" w:rsidRPr="009B5B67" w:rsidRDefault="008D35C3" w:rsidP="00790A0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577FEE43" w14:textId="43042B9D" w:rsidR="008D35C3" w:rsidRPr="009B5B67" w:rsidRDefault="008D35C3" w:rsidP="00790A00">
            <w:pPr>
              <w:spacing w:after="0"/>
              <w:rPr>
                <w:rFonts w:cs="Arial"/>
                <w:szCs w:val="20"/>
                <w:lang w:val="en-GB"/>
              </w:rPr>
            </w:pPr>
            <w:r>
              <w:rPr>
                <w:rFonts w:cs="Arial"/>
                <w:szCs w:val="20"/>
                <w:lang w:val="en-GB"/>
              </w:rPr>
              <w:t>-</w:t>
            </w:r>
          </w:p>
        </w:tc>
      </w:tr>
      <w:tr w:rsidR="008D35C3" w:rsidRPr="004D4E8A" w14:paraId="7DB97C44"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1044C9CF" w14:textId="77777777" w:rsidR="008D35C3" w:rsidRPr="009B5B67" w:rsidRDefault="008D35C3" w:rsidP="008D35C3">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39FEC432" w14:textId="244246BD" w:rsidR="008D35C3" w:rsidRPr="00CE33F4" w:rsidRDefault="008D35C3" w:rsidP="008D35C3">
            <w:pPr>
              <w:spacing w:after="0"/>
              <w:rPr>
                <w:rFonts w:cs="Arial"/>
                <w:szCs w:val="20"/>
                <w:vertAlign w:val="superscript"/>
                <w:lang w:val="en-GB"/>
              </w:rPr>
            </w:pPr>
            <w:r w:rsidRPr="008D35C3">
              <w:rPr>
                <w:rFonts w:cs="Arial"/>
                <w:szCs w:val="20"/>
                <w:lang w:val="en-GB"/>
              </w:rPr>
              <w:t>114 kt CO</w:t>
            </w:r>
            <w:r w:rsidRPr="008D35C3">
              <w:rPr>
                <w:rFonts w:cs="Arial"/>
                <w:szCs w:val="20"/>
                <w:vertAlign w:val="subscript"/>
                <w:lang w:val="en-GB"/>
              </w:rPr>
              <w:t xml:space="preserve">2 </w:t>
            </w:r>
            <w:proofErr w:type="spellStart"/>
            <w:r w:rsidRPr="008D35C3">
              <w:rPr>
                <w:rFonts w:cs="Arial"/>
                <w:szCs w:val="20"/>
                <w:lang w:val="en-GB"/>
              </w:rPr>
              <w:t>eq</w:t>
            </w:r>
            <w:proofErr w:type="spellEnd"/>
            <w:r w:rsidRPr="008D35C3">
              <w:rPr>
                <w:rFonts w:cs="Arial"/>
                <w:szCs w:val="20"/>
                <w:lang w:val="en-GB"/>
              </w:rPr>
              <w:t xml:space="preserve"> </w:t>
            </w:r>
          </w:p>
        </w:tc>
      </w:tr>
      <w:tr w:rsidR="008D35C3" w:rsidRPr="009B5B67" w14:paraId="7C66F509"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4FE12F31" w14:textId="77777777" w:rsidR="008D35C3" w:rsidRPr="009B5B67" w:rsidRDefault="008D35C3" w:rsidP="008D35C3">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0CDC59A0" w14:textId="77777777" w:rsidR="008D35C3" w:rsidRPr="009B5B67" w:rsidRDefault="008D35C3" w:rsidP="008D35C3">
            <w:pPr>
              <w:spacing w:after="0"/>
              <w:rPr>
                <w:rFonts w:cs="Arial"/>
                <w:szCs w:val="20"/>
                <w:lang w:val="en-GB"/>
              </w:rPr>
            </w:pPr>
            <w:r w:rsidRPr="009B5B67">
              <w:rPr>
                <w:rFonts w:cs="Arial"/>
                <w:szCs w:val="20"/>
                <w:lang w:val="en-GB"/>
              </w:rPr>
              <w:t>2030</w:t>
            </w:r>
          </w:p>
        </w:tc>
      </w:tr>
      <w:tr w:rsidR="008D35C3" w:rsidRPr="009B5B67" w14:paraId="4634C3C7"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14D35707" w14:textId="77777777" w:rsidR="008D35C3" w:rsidRPr="009B5B67" w:rsidRDefault="008D35C3" w:rsidP="008D35C3">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0ABE6BA8" w14:textId="77777777" w:rsidR="008D35C3" w:rsidRPr="009B5B67" w:rsidRDefault="008D35C3" w:rsidP="008D35C3">
            <w:pPr>
              <w:spacing w:after="0"/>
              <w:rPr>
                <w:rFonts w:cs="Arial"/>
                <w:szCs w:val="20"/>
                <w:lang w:val="en-GB"/>
              </w:rPr>
            </w:pPr>
            <w:r w:rsidRPr="009B5B67">
              <w:rPr>
                <w:rFonts w:cs="Arial"/>
                <w:szCs w:val="20"/>
                <w:lang w:val="en-GB"/>
              </w:rPr>
              <w:t>-</w:t>
            </w:r>
          </w:p>
        </w:tc>
      </w:tr>
    </w:tbl>
    <w:p w14:paraId="2921BBE6" w14:textId="7DCC6056" w:rsidR="008D35C3" w:rsidRDefault="008D35C3" w:rsidP="00AD3320">
      <w:pPr>
        <w:spacing w:after="0"/>
        <w:rPr>
          <w:rFonts w:cs="Arial"/>
          <w:szCs w:val="20"/>
          <w:lang w:val="en-GB"/>
        </w:rPr>
      </w:pPr>
    </w:p>
    <w:p w14:paraId="2498B1C3" w14:textId="77777777" w:rsidR="008D35C3" w:rsidRPr="009B5B67" w:rsidRDefault="008D35C3"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2171EF06" w14:textId="77777777" w:rsidTr="00AD3320">
        <w:trPr>
          <w:trHeight w:val="540"/>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A01ED89" w14:textId="5B8B7AEF" w:rsidR="00AD3320" w:rsidRPr="009B5B67" w:rsidRDefault="00AD3320" w:rsidP="00AD3320">
            <w:pPr>
              <w:spacing w:after="0"/>
              <w:rPr>
                <w:rFonts w:cs="Arial"/>
                <w:b/>
                <w:bCs/>
                <w:szCs w:val="20"/>
                <w:lang w:val="en-GB"/>
              </w:rPr>
            </w:pPr>
            <w:r w:rsidRPr="009B5B67">
              <w:rPr>
                <w:rFonts w:cs="Arial"/>
                <w:b/>
                <w:bCs/>
                <w:szCs w:val="20"/>
                <w:lang w:val="en-GB"/>
              </w:rPr>
              <w:t xml:space="preserve">Mitigation action </w:t>
            </w:r>
            <w:r w:rsidRPr="009B5B67">
              <w:rPr>
                <w:rFonts w:cs="Arial"/>
                <w:b/>
                <w:bCs/>
                <w:szCs w:val="20"/>
                <w:lang w:val="en-GB"/>
              </w:rPr>
              <w:fldChar w:fldCharType="begin"/>
            </w:r>
            <w:r w:rsidRPr="009B5B67">
              <w:rPr>
                <w:rFonts w:cs="Arial"/>
                <w:b/>
                <w:bCs/>
                <w:szCs w:val="20"/>
                <w:lang w:val="en-GB"/>
              </w:rPr>
              <w:instrText xml:space="preserve"> SEQ Mitigation_action \* ARABIC </w:instrText>
            </w:r>
            <w:r w:rsidRPr="009B5B67">
              <w:rPr>
                <w:rFonts w:cs="Arial"/>
                <w:b/>
                <w:bCs/>
                <w:szCs w:val="20"/>
                <w:lang w:val="en-GB"/>
              </w:rPr>
              <w:fldChar w:fldCharType="separate"/>
            </w:r>
            <w:r w:rsidR="00F57FA4">
              <w:rPr>
                <w:rFonts w:cs="Arial"/>
                <w:b/>
                <w:bCs/>
                <w:noProof/>
                <w:szCs w:val="20"/>
                <w:lang w:val="en-GB"/>
              </w:rPr>
              <w:t>13</w:t>
            </w:r>
            <w:r w:rsidRPr="009B5B67">
              <w:rPr>
                <w:rFonts w:cs="Arial"/>
                <w:b/>
                <w:bCs/>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70261E2" w14:textId="77777777" w:rsidR="00AD3320" w:rsidRPr="009B5B67" w:rsidRDefault="00AD3320" w:rsidP="00AD3320">
            <w:pPr>
              <w:spacing w:after="0"/>
              <w:rPr>
                <w:rFonts w:cs="Arial"/>
                <w:b/>
                <w:bCs/>
                <w:szCs w:val="20"/>
                <w:lang w:val="en-GB"/>
              </w:rPr>
            </w:pPr>
            <w:r w:rsidRPr="009B5B67">
              <w:rPr>
                <w:rFonts w:cs="Arial"/>
                <w:b/>
                <w:bCs/>
                <w:szCs w:val="20"/>
                <w:lang w:val="en-GB"/>
              </w:rPr>
              <w:t>Awareness raising on benefits of Winter cover crops</w:t>
            </w:r>
          </w:p>
        </w:tc>
      </w:tr>
      <w:tr w:rsidR="00AD3320" w:rsidRPr="000324FE" w14:paraId="2ED98C4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AEB7D71"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27381DBC" w14:textId="77777777" w:rsidR="00AD3320" w:rsidRPr="009B5B67" w:rsidRDefault="00AD3320" w:rsidP="00AD3320">
            <w:pPr>
              <w:spacing w:after="0"/>
              <w:rPr>
                <w:rFonts w:cs="Arial"/>
                <w:szCs w:val="20"/>
                <w:lang w:val="en-GB"/>
              </w:rPr>
            </w:pPr>
            <w:r w:rsidRPr="009B5B67">
              <w:rPr>
                <w:rFonts w:cs="Arial"/>
                <w:szCs w:val="20"/>
                <w:lang w:val="en-GB"/>
              </w:rPr>
              <w:t>Awareness raising through the Agriculture Advisory Services. Measure assumes planting of winter cover crops on the area of 1.919 kha.</w:t>
            </w:r>
          </w:p>
        </w:tc>
      </w:tr>
      <w:tr w:rsidR="00AD3320" w:rsidRPr="000324FE" w14:paraId="58C577A7"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AE7C84C"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58FC0E82" w14:textId="77777777" w:rsidR="00AD3320" w:rsidRPr="009B5B67" w:rsidRDefault="00AD3320" w:rsidP="00AD3320">
            <w:pPr>
              <w:spacing w:after="0"/>
              <w:rPr>
                <w:rFonts w:cs="Arial"/>
                <w:szCs w:val="20"/>
                <w:lang w:val="en-GB"/>
              </w:rPr>
            </w:pPr>
            <w:r w:rsidRPr="009B5B67">
              <w:rPr>
                <w:rFonts w:cs="Arial"/>
                <w:szCs w:val="20"/>
                <w:lang w:val="en-GB"/>
              </w:rPr>
              <w:t xml:space="preserve">Reduce GHG emissions in agriculture by 15% </w:t>
            </w:r>
          </w:p>
        </w:tc>
      </w:tr>
      <w:tr w:rsidR="00AD3320" w:rsidRPr="009B5B67" w14:paraId="02C53D0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A8C271F"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5DC5A7DA" w14:textId="77777777" w:rsidR="00AD3320" w:rsidRPr="009B5B67" w:rsidRDefault="00AD3320" w:rsidP="00AD3320">
            <w:pPr>
              <w:spacing w:after="0"/>
              <w:rPr>
                <w:rFonts w:cs="Arial"/>
                <w:szCs w:val="20"/>
                <w:lang w:val="en-GB"/>
              </w:rPr>
            </w:pPr>
            <w:r w:rsidRPr="009B5B67">
              <w:rPr>
                <w:rFonts w:cs="Arial"/>
                <w:szCs w:val="20"/>
                <w:lang w:val="en-GB"/>
              </w:rPr>
              <w:t>Incentive; Informational-Educational</w:t>
            </w:r>
          </w:p>
        </w:tc>
      </w:tr>
      <w:tr w:rsidR="00AD3320" w:rsidRPr="009B5B67" w14:paraId="2F8B7DD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3C1E491"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206A7808"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9B5B67" w14:paraId="6A53121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568282E"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57DA3C95" w14:textId="77777777" w:rsidR="00AD3320" w:rsidRPr="009B5B67" w:rsidRDefault="00AD3320" w:rsidP="00AD3320">
            <w:pPr>
              <w:spacing w:after="0"/>
              <w:rPr>
                <w:rFonts w:cs="Arial"/>
                <w:szCs w:val="20"/>
                <w:lang w:val="en-GB"/>
              </w:rPr>
            </w:pPr>
            <w:r w:rsidRPr="009B5B67">
              <w:rPr>
                <w:rFonts w:cs="Arial"/>
                <w:szCs w:val="20"/>
                <w:lang w:val="en-GB"/>
              </w:rPr>
              <w:t>Agriculture</w:t>
            </w:r>
          </w:p>
        </w:tc>
      </w:tr>
      <w:tr w:rsidR="00AD3320" w:rsidRPr="009B5B67" w14:paraId="0A7ABEB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FEA0720"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20201963" w14:textId="77777777" w:rsidR="00AD3320" w:rsidRPr="009B5B67" w:rsidRDefault="00AD3320" w:rsidP="00AD3320">
            <w:pPr>
              <w:spacing w:after="0"/>
              <w:rPr>
                <w:rFonts w:cs="Arial"/>
                <w:szCs w:val="20"/>
                <w:lang w:val="en-GB"/>
              </w:rPr>
            </w:pPr>
            <w:r w:rsidRPr="009B5B67">
              <w:rPr>
                <w:rFonts w:cs="Arial"/>
                <w:szCs w:val="20"/>
                <w:lang w:val="en-GB"/>
              </w:rPr>
              <w:t>N</w:t>
            </w:r>
            <w:r w:rsidRPr="009B5B67">
              <w:rPr>
                <w:rFonts w:cs="Arial"/>
                <w:szCs w:val="20"/>
                <w:vertAlign w:val="subscript"/>
                <w:lang w:val="en-GB"/>
              </w:rPr>
              <w:t>2</w:t>
            </w:r>
            <w:r w:rsidRPr="009B5B67">
              <w:rPr>
                <w:rFonts w:cs="Arial"/>
                <w:szCs w:val="20"/>
                <w:lang w:val="en-GB"/>
              </w:rPr>
              <w:t>O, CO</w:t>
            </w:r>
            <w:r w:rsidRPr="009B5B67">
              <w:rPr>
                <w:rFonts w:cs="Arial"/>
                <w:szCs w:val="20"/>
                <w:vertAlign w:val="subscript"/>
                <w:lang w:val="en-GB"/>
              </w:rPr>
              <w:t>2</w:t>
            </w:r>
          </w:p>
        </w:tc>
      </w:tr>
      <w:tr w:rsidR="00AD3320" w:rsidRPr="009B5B67" w14:paraId="46F8A333"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1F40EFC" w14:textId="77777777" w:rsidR="00AD3320" w:rsidRPr="009B5B67" w:rsidRDefault="00AD3320" w:rsidP="00AD3320">
            <w:pPr>
              <w:spacing w:after="0"/>
              <w:rPr>
                <w:rFonts w:cs="Arial"/>
                <w:szCs w:val="20"/>
                <w:lang w:val="en-GB"/>
              </w:rPr>
            </w:pPr>
            <w:r w:rsidRPr="009B5B67">
              <w:rPr>
                <w:rFonts w:cs="Arial"/>
                <w:szCs w:val="20"/>
                <w:lang w:val="en-GB"/>
              </w:rPr>
              <w:lastRenderedPageBreak/>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2AEFA779" w14:textId="77777777" w:rsidR="00AD3320" w:rsidRPr="009B5B67" w:rsidRDefault="00AD3320" w:rsidP="00AD3320">
            <w:pPr>
              <w:spacing w:after="0"/>
              <w:rPr>
                <w:rFonts w:cs="Arial"/>
                <w:szCs w:val="20"/>
                <w:lang w:val="en-GB"/>
              </w:rPr>
            </w:pPr>
            <w:r w:rsidRPr="009B5B67">
              <w:rPr>
                <w:rFonts w:cs="Arial"/>
                <w:szCs w:val="20"/>
                <w:lang w:val="en-GB"/>
              </w:rPr>
              <w:t>2021</w:t>
            </w:r>
          </w:p>
        </w:tc>
      </w:tr>
      <w:tr w:rsidR="00AD3320" w:rsidRPr="000324FE" w14:paraId="672CD3D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B99B7FD"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6334444B" w14:textId="77777777" w:rsidR="00AD3320" w:rsidRPr="009B5B67" w:rsidRDefault="00AD3320" w:rsidP="00AD3320">
            <w:pPr>
              <w:spacing w:after="0"/>
              <w:rPr>
                <w:rFonts w:cs="Arial"/>
                <w:szCs w:val="20"/>
                <w:lang w:val="en-GB"/>
              </w:rPr>
            </w:pPr>
            <w:r w:rsidRPr="009B5B67">
              <w:rPr>
                <w:rFonts w:cs="Arial"/>
                <w:szCs w:val="20"/>
                <w:lang w:val="en-GB"/>
              </w:rPr>
              <w:t>Ministry of Agriculture, Forestry and Water Management, Agricultural Advisory Service, Farmers</w:t>
            </w:r>
          </w:p>
        </w:tc>
      </w:tr>
      <w:tr w:rsidR="00AD3320" w:rsidRPr="009B5B67" w14:paraId="45B90AC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DC82D89"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4387A45B" w14:textId="77777777" w:rsidR="00AD3320" w:rsidRPr="009B5B67" w:rsidRDefault="00AD3320" w:rsidP="00AD3320">
            <w:pPr>
              <w:spacing w:after="0"/>
              <w:rPr>
                <w:rFonts w:cs="Arial"/>
                <w:szCs w:val="20"/>
                <w:lang w:val="en-GB"/>
              </w:rPr>
            </w:pPr>
            <w:r w:rsidRPr="009B5B67">
              <w:rPr>
                <w:rFonts w:cs="Arial"/>
                <w:szCs w:val="20"/>
                <w:lang w:val="en-GB"/>
              </w:rPr>
              <w:t>The additional investment costs for investors associated with this measure are 76.2 Mio. EURO</w:t>
            </w:r>
          </w:p>
        </w:tc>
      </w:tr>
      <w:tr w:rsidR="00AD3320" w:rsidRPr="000324FE" w14:paraId="5808B5B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6DE63D4"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7CA8B46C" w14:textId="77777777" w:rsidR="00AD3320" w:rsidRPr="009B5B67" w:rsidRDefault="00AD3320" w:rsidP="00AD3320">
            <w:pPr>
              <w:spacing w:after="0"/>
              <w:rPr>
                <w:rFonts w:cs="Arial"/>
                <w:szCs w:val="20"/>
                <w:lang w:val="en-GB"/>
              </w:rPr>
            </w:pPr>
            <w:r w:rsidRPr="009B5B67">
              <w:rPr>
                <w:rFonts w:cs="Arial"/>
                <w:szCs w:val="20"/>
                <w:lang w:val="en-GB"/>
              </w:rPr>
              <w:t>Reduce soil erosion</w:t>
            </w:r>
          </w:p>
          <w:p w14:paraId="6F1E8F77" w14:textId="77777777" w:rsidR="00AD3320" w:rsidRPr="009B5B67" w:rsidRDefault="00AD3320" w:rsidP="00AD3320">
            <w:pPr>
              <w:spacing w:after="0"/>
              <w:rPr>
                <w:rFonts w:cs="Arial"/>
                <w:szCs w:val="20"/>
                <w:lang w:val="en-GB"/>
              </w:rPr>
            </w:pPr>
            <w:r w:rsidRPr="009B5B67">
              <w:rPr>
                <w:rFonts w:cs="Arial"/>
                <w:szCs w:val="20"/>
                <w:lang w:val="en-GB"/>
              </w:rPr>
              <w:t>Increase soil fertility</w:t>
            </w:r>
          </w:p>
          <w:p w14:paraId="0272A85E" w14:textId="77777777" w:rsidR="00AD3320" w:rsidRPr="009B5B67" w:rsidRDefault="00AD3320" w:rsidP="00AD3320">
            <w:pPr>
              <w:spacing w:after="0"/>
              <w:rPr>
                <w:rFonts w:cs="Arial"/>
                <w:szCs w:val="20"/>
                <w:lang w:val="en-GB"/>
              </w:rPr>
            </w:pPr>
            <w:r w:rsidRPr="009B5B67">
              <w:rPr>
                <w:rFonts w:cs="Arial"/>
                <w:szCs w:val="20"/>
                <w:lang w:val="en-GB"/>
              </w:rPr>
              <w:t>Increase soil and water quality</w:t>
            </w:r>
          </w:p>
          <w:p w14:paraId="03B1D36D" w14:textId="77777777" w:rsidR="00AD3320" w:rsidRPr="009B5B67" w:rsidRDefault="00AD3320" w:rsidP="00AD3320">
            <w:pPr>
              <w:spacing w:after="0"/>
              <w:rPr>
                <w:rFonts w:cs="Arial"/>
                <w:szCs w:val="20"/>
                <w:lang w:val="en-GB" w:eastAsia="de-DE"/>
              </w:rPr>
            </w:pPr>
            <w:r w:rsidRPr="009B5B67">
              <w:rPr>
                <w:rFonts w:cs="Arial"/>
                <w:szCs w:val="20"/>
                <w:lang w:val="en-GB"/>
              </w:rPr>
              <w:t>Reduce pressure on biodiversity.</w:t>
            </w:r>
          </w:p>
        </w:tc>
      </w:tr>
      <w:tr w:rsidR="00AD3320" w:rsidRPr="009B5B67" w14:paraId="03931E6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12F47DE"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6DE4F4E0" w14:textId="77777777" w:rsidR="00AD3320" w:rsidRPr="009B5B67" w:rsidRDefault="00AD3320" w:rsidP="00AD3320">
            <w:pPr>
              <w:spacing w:after="0"/>
              <w:rPr>
                <w:rFonts w:cs="Arial"/>
                <w:szCs w:val="20"/>
                <w:lang w:val="en-GB"/>
              </w:rPr>
            </w:pPr>
            <w:r w:rsidRPr="009B5B67">
              <w:rPr>
                <w:rFonts w:cs="Arial"/>
                <w:szCs w:val="20"/>
                <w:lang w:val="en-GB"/>
              </w:rPr>
              <w:t>-</w:t>
            </w:r>
          </w:p>
        </w:tc>
      </w:tr>
      <w:tr w:rsidR="00AD3320" w:rsidRPr="000324FE" w14:paraId="6454EC9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E03088D"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156BD19B" w14:textId="77777777" w:rsidR="00AD3320" w:rsidRPr="009B5B67" w:rsidRDefault="00AD3320" w:rsidP="00AD3320">
            <w:pPr>
              <w:spacing w:after="0"/>
              <w:rPr>
                <w:rFonts w:cs="Arial"/>
                <w:szCs w:val="20"/>
                <w:lang w:val="en-GB"/>
              </w:rPr>
            </w:pPr>
            <w:r w:rsidRPr="009B5B67">
              <w:rPr>
                <w:rFonts w:cs="Arial"/>
                <w:szCs w:val="20"/>
                <w:lang w:val="en-GB"/>
              </w:rPr>
              <w:t>579.05 kt CO</w:t>
            </w:r>
            <w:r w:rsidRPr="009B5B67">
              <w:rPr>
                <w:rFonts w:cs="Arial"/>
                <w:szCs w:val="20"/>
                <w:vertAlign w:val="subscript"/>
                <w:lang w:val="en-GB"/>
              </w:rPr>
              <w:t xml:space="preserve">2 </w:t>
            </w:r>
            <w:proofErr w:type="spellStart"/>
            <w:r w:rsidRPr="009B5B67">
              <w:rPr>
                <w:rFonts w:cs="Arial"/>
                <w:szCs w:val="20"/>
                <w:lang w:val="en-GB"/>
              </w:rPr>
              <w:t>eq</w:t>
            </w:r>
            <w:proofErr w:type="spellEnd"/>
            <w:r w:rsidRPr="009B5B67">
              <w:rPr>
                <w:rFonts w:cs="Arial"/>
                <w:szCs w:val="20"/>
                <w:lang w:val="en-GB"/>
              </w:rPr>
              <w:t xml:space="preserve"> of which 410.70 kt CO</w:t>
            </w:r>
            <w:r w:rsidRPr="009B5B67">
              <w:rPr>
                <w:rFonts w:cs="Arial"/>
                <w:szCs w:val="20"/>
                <w:vertAlign w:val="subscript"/>
                <w:lang w:val="en-GB"/>
              </w:rPr>
              <w:t>2</w:t>
            </w:r>
            <w:r w:rsidRPr="009B5B67">
              <w:rPr>
                <w:rFonts w:cs="Arial"/>
                <w:szCs w:val="20"/>
                <w:lang w:val="en-GB"/>
              </w:rPr>
              <w:t xml:space="preserve"> are related to sequestration/</w:t>
            </w:r>
          </w:p>
        </w:tc>
      </w:tr>
      <w:tr w:rsidR="00AD3320" w:rsidRPr="009B5B67" w14:paraId="676019C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90643EA"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70682BAA"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0A242E9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CCA05C4"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1D4C1090"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291B4ABE" w14:textId="77777777" w:rsidR="00AD3320" w:rsidRPr="009B5B67" w:rsidRDefault="00AD3320" w:rsidP="00AD3320">
      <w:pPr>
        <w:spacing w:after="0"/>
        <w:rPr>
          <w:rFonts w:cs="Arial"/>
          <w:szCs w:val="20"/>
          <w:lang w:val="en-GB"/>
        </w:rPr>
      </w:pPr>
    </w:p>
    <w:p w14:paraId="170F1B3D" w14:textId="77777777" w:rsidR="00AD3320" w:rsidRPr="009B5B67"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30F9C692" w14:textId="77777777" w:rsidTr="00AD3320">
        <w:trPr>
          <w:trHeight w:val="472"/>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994C030" w14:textId="4BF76428" w:rsidR="00AD3320" w:rsidRPr="009B5B67" w:rsidRDefault="00AD3320" w:rsidP="00AD3320">
            <w:pPr>
              <w:spacing w:after="0"/>
              <w:rPr>
                <w:rFonts w:cs="Arial"/>
                <w:b/>
                <w:bCs/>
                <w:szCs w:val="20"/>
                <w:lang w:val="en-GB"/>
              </w:rPr>
            </w:pPr>
            <w:r w:rsidRPr="009B5B67">
              <w:rPr>
                <w:rFonts w:cs="Arial"/>
                <w:b/>
                <w:bCs/>
                <w:szCs w:val="20"/>
                <w:lang w:val="en-GB"/>
              </w:rPr>
              <w:t xml:space="preserve">Mitigation action </w:t>
            </w:r>
            <w:r w:rsidRPr="009B5B67">
              <w:rPr>
                <w:rFonts w:cs="Arial"/>
                <w:b/>
                <w:bCs/>
                <w:szCs w:val="20"/>
                <w:lang w:val="en-GB"/>
              </w:rPr>
              <w:fldChar w:fldCharType="begin"/>
            </w:r>
            <w:r w:rsidRPr="009B5B67">
              <w:rPr>
                <w:rFonts w:cs="Arial"/>
                <w:b/>
                <w:bCs/>
                <w:szCs w:val="20"/>
                <w:lang w:val="en-GB"/>
              </w:rPr>
              <w:instrText xml:space="preserve"> SEQ Mitigation_action \* ARABIC </w:instrText>
            </w:r>
            <w:r w:rsidRPr="009B5B67">
              <w:rPr>
                <w:rFonts w:cs="Arial"/>
                <w:b/>
                <w:bCs/>
                <w:szCs w:val="20"/>
                <w:lang w:val="en-GB"/>
              </w:rPr>
              <w:fldChar w:fldCharType="separate"/>
            </w:r>
            <w:r w:rsidR="00F57FA4">
              <w:rPr>
                <w:rFonts w:cs="Arial"/>
                <w:b/>
                <w:bCs/>
                <w:noProof/>
                <w:szCs w:val="20"/>
                <w:lang w:val="en-GB"/>
              </w:rPr>
              <w:t>14</w:t>
            </w:r>
            <w:r w:rsidRPr="009B5B67">
              <w:rPr>
                <w:rFonts w:cs="Arial"/>
                <w:b/>
                <w:bCs/>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A9DC0CA" w14:textId="77777777" w:rsidR="00AD3320" w:rsidRPr="009B5B67" w:rsidRDefault="00AD3320" w:rsidP="00AD3320">
            <w:pPr>
              <w:spacing w:after="0"/>
              <w:rPr>
                <w:rFonts w:cs="Arial"/>
                <w:b/>
                <w:bCs/>
                <w:szCs w:val="20"/>
                <w:lang w:val="en-GB"/>
              </w:rPr>
            </w:pPr>
            <w:r w:rsidRPr="009B5B67">
              <w:rPr>
                <w:rFonts w:cs="Arial"/>
                <w:b/>
                <w:bCs/>
                <w:szCs w:val="20"/>
                <w:lang w:val="en-GB"/>
              </w:rPr>
              <w:t>Potentials in increase of legume share in fodder area</w:t>
            </w:r>
          </w:p>
        </w:tc>
      </w:tr>
      <w:tr w:rsidR="00AD3320" w:rsidRPr="009B5B67" w14:paraId="6C5B0D0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943A9ED"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33DACF9A" w14:textId="77777777" w:rsidR="00AD3320" w:rsidRPr="009B5B67" w:rsidRDefault="00AD3320" w:rsidP="00AD3320">
            <w:pPr>
              <w:spacing w:after="0"/>
              <w:rPr>
                <w:rFonts w:cs="Arial"/>
                <w:szCs w:val="20"/>
                <w:lang w:val="en-GB"/>
              </w:rPr>
            </w:pPr>
            <w:r w:rsidRPr="009B5B67">
              <w:rPr>
                <w:rFonts w:cs="Arial"/>
                <w:szCs w:val="20"/>
                <w:lang w:val="en-GB"/>
              </w:rPr>
              <w:t>Financial stimulations for increase of legume share for 33,000 ha compared to 2017, combined with awareness raising through the Agriculture Advisory Services. Additional legumes shall be made on temporary grassland increase.</w:t>
            </w:r>
          </w:p>
        </w:tc>
      </w:tr>
      <w:tr w:rsidR="00AD3320" w:rsidRPr="000324FE" w14:paraId="308FF1D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C0EB2D4"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5AEF7CB4" w14:textId="7E55A79D" w:rsidR="00AD3320" w:rsidRPr="009B5B67" w:rsidRDefault="00AD3320" w:rsidP="00AD3320">
            <w:pPr>
              <w:spacing w:after="0"/>
              <w:rPr>
                <w:rFonts w:cs="Arial"/>
                <w:szCs w:val="20"/>
                <w:lang w:val="en-GB"/>
              </w:rPr>
            </w:pPr>
            <w:r w:rsidRPr="009B5B67">
              <w:rPr>
                <w:rFonts w:cs="Arial"/>
                <w:szCs w:val="20"/>
                <w:lang w:val="en-GB"/>
              </w:rPr>
              <w:t xml:space="preserve">Reduce GHG emissions in agriculture by 15% </w:t>
            </w:r>
          </w:p>
        </w:tc>
      </w:tr>
      <w:tr w:rsidR="00AD3320" w:rsidRPr="009B5B67" w14:paraId="22F1620A" w14:textId="77777777" w:rsidTr="00AD3320">
        <w:trPr>
          <w:trHeight w:val="215"/>
        </w:trPr>
        <w:tc>
          <w:tcPr>
            <w:tcW w:w="4531" w:type="dxa"/>
            <w:tcBorders>
              <w:top w:val="single" w:sz="4" w:space="0" w:color="auto"/>
              <w:left w:val="single" w:sz="4" w:space="0" w:color="auto"/>
              <w:bottom w:val="single" w:sz="4" w:space="0" w:color="auto"/>
              <w:right w:val="single" w:sz="4" w:space="0" w:color="auto"/>
            </w:tcBorders>
            <w:hideMark/>
          </w:tcPr>
          <w:p w14:paraId="1D3C8C09"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36D4F615" w14:textId="77777777" w:rsidR="00AD3320" w:rsidRPr="009B5B67" w:rsidRDefault="00AD3320" w:rsidP="00AD3320">
            <w:pPr>
              <w:spacing w:after="0"/>
              <w:rPr>
                <w:rFonts w:cs="Arial"/>
                <w:szCs w:val="20"/>
                <w:lang w:val="en-GB"/>
              </w:rPr>
            </w:pPr>
            <w:r w:rsidRPr="009B5B67">
              <w:rPr>
                <w:rFonts w:cs="Arial"/>
                <w:szCs w:val="20"/>
                <w:lang w:val="en-GB"/>
              </w:rPr>
              <w:t>Incentive, Informational-Educational</w:t>
            </w:r>
          </w:p>
        </w:tc>
      </w:tr>
      <w:tr w:rsidR="00AD3320" w:rsidRPr="009B5B67" w14:paraId="0900EB5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14AEE61"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52A7C36C"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9B5B67" w14:paraId="34A0726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350372E"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37618E64" w14:textId="77777777" w:rsidR="00AD3320" w:rsidRPr="009B5B67" w:rsidRDefault="00AD3320" w:rsidP="00AD3320">
            <w:pPr>
              <w:spacing w:after="0"/>
              <w:rPr>
                <w:rFonts w:cs="Arial"/>
                <w:szCs w:val="20"/>
                <w:lang w:val="en-GB"/>
              </w:rPr>
            </w:pPr>
            <w:r w:rsidRPr="009B5B67">
              <w:rPr>
                <w:rFonts w:cs="Arial"/>
                <w:szCs w:val="20"/>
                <w:lang w:val="en-GB"/>
              </w:rPr>
              <w:t>Agriculture</w:t>
            </w:r>
          </w:p>
        </w:tc>
      </w:tr>
      <w:tr w:rsidR="00AD3320" w:rsidRPr="009B5B67" w14:paraId="2D70EDB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A512B91"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670106DB" w14:textId="77777777" w:rsidR="00AD3320" w:rsidRPr="009B5B67" w:rsidRDefault="00AD3320" w:rsidP="00AD3320">
            <w:pPr>
              <w:spacing w:after="0"/>
              <w:rPr>
                <w:rFonts w:cs="Arial"/>
                <w:szCs w:val="20"/>
                <w:lang w:val="en-GB"/>
              </w:rPr>
            </w:pPr>
            <w:r w:rsidRPr="009B5B67">
              <w:rPr>
                <w:rFonts w:cs="Arial"/>
                <w:szCs w:val="20"/>
                <w:lang w:val="en-GB"/>
              </w:rPr>
              <w:t>N</w:t>
            </w:r>
            <w:r w:rsidRPr="009B5B67">
              <w:rPr>
                <w:rFonts w:cs="Arial"/>
                <w:szCs w:val="20"/>
                <w:vertAlign w:val="subscript"/>
                <w:lang w:val="en-GB"/>
              </w:rPr>
              <w:t>2</w:t>
            </w:r>
            <w:r w:rsidRPr="009B5B67">
              <w:rPr>
                <w:rFonts w:cs="Arial"/>
                <w:szCs w:val="20"/>
                <w:lang w:val="en-GB"/>
              </w:rPr>
              <w:t>O, CO</w:t>
            </w:r>
            <w:r w:rsidRPr="009B5B67">
              <w:rPr>
                <w:rFonts w:cs="Arial"/>
                <w:szCs w:val="20"/>
                <w:vertAlign w:val="subscript"/>
                <w:lang w:val="en-GB"/>
              </w:rPr>
              <w:t>2</w:t>
            </w:r>
          </w:p>
        </w:tc>
      </w:tr>
      <w:tr w:rsidR="00AD3320" w:rsidRPr="009B5B67" w14:paraId="5814118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05BECAD" w14:textId="77777777" w:rsidR="00AD3320" w:rsidRPr="009B5B67" w:rsidRDefault="00AD3320" w:rsidP="00AD3320">
            <w:pPr>
              <w:spacing w:after="0"/>
              <w:rPr>
                <w:rFonts w:cs="Arial"/>
                <w:szCs w:val="20"/>
                <w:lang w:val="en-GB"/>
              </w:rPr>
            </w:pPr>
            <w:r w:rsidRPr="009B5B67">
              <w:rPr>
                <w:rFonts w:cs="Arial"/>
                <w:szCs w:val="20"/>
                <w:lang w:val="en-GB"/>
              </w:rPr>
              <w:lastRenderedPageBreak/>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4193A454" w14:textId="77777777" w:rsidR="00AD3320" w:rsidRPr="009B5B67" w:rsidRDefault="00AD3320" w:rsidP="00AD3320">
            <w:pPr>
              <w:spacing w:after="0"/>
              <w:rPr>
                <w:rFonts w:cs="Arial"/>
                <w:szCs w:val="20"/>
                <w:lang w:val="en-GB"/>
              </w:rPr>
            </w:pPr>
            <w:r w:rsidRPr="009B5B67">
              <w:rPr>
                <w:rFonts w:cs="Arial"/>
                <w:szCs w:val="20"/>
                <w:lang w:val="en-GB"/>
              </w:rPr>
              <w:t>2021</w:t>
            </w:r>
          </w:p>
        </w:tc>
      </w:tr>
      <w:tr w:rsidR="00AD3320" w:rsidRPr="000324FE" w14:paraId="51708D1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4F1D1F9"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1C10F415" w14:textId="77777777" w:rsidR="00AD3320" w:rsidRPr="009B5B67" w:rsidRDefault="00AD3320" w:rsidP="00AD3320">
            <w:pPr>
              <w:spacing w:after="0"/>
              <w:rPr>
                <w:rFonts w:cs="Arial"/>
                <w:szCs w:val="20"/>
                <w:lang w:val="en-GB"/>
              </w:rPr>
            </w:pPr>
            <w:r w:rsidRPr="009B5B67">
              <w:rPr>
                <w:rFonts w:cs="Arial"/>
                <w:szCs w:val="20"/>
                <w:lang w:val="en-GB"/>
              </w:rPr>
              <w:t>Ministry of Agriculture, Forestry and Water Management, Agricultural Advisory Service, Directorate for Agrarian Payments, Directorate for agricultural land, Chamber of Commerce, Farmers,</w:t>
            </w:r>
          </w:p>
        </w:tc>
      </w:tr>
      <w:tr w:rsidR="00AD3320" w:rsidRPr="009B5B67" w14:paraId="6EDC805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5E08AEF"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723ED0C8" w14:textId="77777777" w:rsidR="00AD3320" w:rsidRPr="009B5B67" w:rsidRDefault="00AD3320" w:rsidP="00AD3320">
            <w:pPr>
              <w:spacing w:after="0"/>
              <w:rPr>
                <w:rFonts w:cs="Arial"/>
                <w:szCs w:val="20"/>
                <w:lang w:val="en-GB"/>
              </w:rPr>
            </w:pPr>
            <w:r w:rsidRPr="009B5B67">
              <w:rPr>
                <w:rFonts w:cs="Arial"/>
                <w:szCs w:val="20"/>
                <w:lang w:val="en-GB"/>
              </w:rPr>
              <w:t>The additional investment costs: 3.55 Mio. EURO</w:t>
            </w:r>
          </w:p>
        </w:tc>
      </w:tr>
      <w:tr w:rsidR="00AD3320" w:rsidRPr="00CE2752" w14:paraId="21F394EB"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C33806A"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7ED22604" w14:textId="77777777" w:rsidR="00AD3320" w:rsidRPr="009B5B67" w:rsidRDefault="00AD3320" w:rsidP="00AD3320">
            <w:pPr>
              <w:spacing w:after="0"/>
              <w:rPr>
                <w:rFonts w:cs="Arial"/>
                <w:szCs w:val="20"/>
                <w:lang w:val="en-GB"/>
              </w:rPr>
            </w:pPr>
            <w:r w:rsidRPr="009B5B67">
              <w:rPr>
                <w:rFonts w:cs="Arial"/>
                <w:szCs w:val="20"/>
                <w:lang w:val="en-GB"/>
              </w:rPr>
              <w:t xml:space="preserve">Increase bio-fixation </w:t>
            </w:r>
          </w:p>
          <w:p w14:paraId="5F095A8B" w14:textId="77777777" w:rsidR="00AD3320" w:rsidRPr="009B5B67" w:rsidRDefault="00AD3320" w:rsidP="00AD3320">
            <w:pPr>
              <w:spacing w:after="0"/>
              <w:rPr>
                <w:rFonts w:cs="Arial"/>
                <w:szCs w:val="20"/>
                <w:lang w:val="en-GB"/>
              </w:rPr>
            </w:pPr>
            <w:r w:rsidRPr="009B5B67">
              <w:rPr>
                <w:rFonts w:cs="Arial"/>
                <w:szCs w:val="20"/>
                <w:lang w:val="en-GB"/>
              </w:rPr>
              <w:t>Reduce costs for farmers</w:t>
            </w:r>
          </w:p>
          <w:p w14:paraId="352D67F0" w14:textId="651FC176" w:rsidR="00CE2752" w:rsidRDefault="00CE2752" w:rsidP="00CE2752">
            <w:pPr>
              <w:spacing w:after="0"/>
              <w:rPr>
                <w:lang w:val="en-US"/>
              </w:rPr>
            </w:pPr>
            <w:r w:rsidRPr="003D44E8">
              <w:rPr>
                <w:lang w:val="en-US"/>
              </w:rPr>
              <w:t>Soil erosion control and improved landscape water absorption</w:t>
            </w:r>
          </w:p>
          <w:p w14:paraId="3DC2932F" w14:textId="29B79452" w:rsidR="00CE2752" w:rsidRDefault="00CE2752" w:rsidP="00CE2752">
            <w:pPr>
              <w:spacing w:after="0"/>
              <w:rPr>
                <w:lang w:val="en-US"/>
              </w:rPr>
            </w:pPr>
            <w:r>
              <w:rPr>
                <w:lang w:val="en-US"/>
              </w:rPr>
              <w:t>Retention and reduced runoff</w:t>
            </w:r>
          </w:p>
          <w:p w14:paraId="23C45D50" w14:textId="5ED40010" w:rsidR="00CE2752" w:rsidRDefault="00CE2752" w:rsidP="00CE2752">
            <w:pPr>
              <w:spacing w:after="0"/>
              <w:rPr>
                <w:lang w:val="en-US"/>
              </w:rPr>
            </w:pPr>
            <w:r>
              <w:rPr>
                <w:lang w:val="en-US"/>
              </w:rPr>
              <w:t>Improved water quality</w:t>
            </w:r>
          </w:p>
          <w:p w14:paraId="08C64622" w14:textId="77777777" w:rsidR="00CE2752" w:rsidRDefault="00CE2752" w:rsidP="00CE2752">
            <w:pPr>
              <w:spacing w:after="0"/>
              <w:rPr>
                <w:lang w:val="en-US"/>
              </w:rPr>
            </w:pPr>
            <w:r>
              <w:rPr>
                <w:lang w:val="en-US"/>
              </w:rPr>
              <w:t>I</w:t>
            </w:r>
            <w:r w:rsidRPr="003D44E8">
              <w:rPr>
                <w:lang w:val="en-US"/>
              </w:rPr>
              <w:t>ncreased biodiversit</w:t>
            </w:r>
            <w:r>
              <w:rPr>
                <w:lang w:val="en-US"/>
              </w:rPr>
              <w:t xml:space="preserve">y in soils and </w:t>
            </w:r>
            <w:proofErr w:type="spellStart"/>
            <w:r>
              <w:rPr>
                <w:lang w:val="en-US"/>
              </w:rPr>
              <w:t>agri</w:t>
            </w:r>
            <w:proofErr w:type="spellEnd"/>
            <w:r>
              <w:rPr>
                <w:lang w:val="en-US"/>
              </w:rPr>
              <w:t>-landscapes</w:t>
            </w:r>
          </w:p>
          <w:p w14:paraId="04E36057" w14:textId="06212A88" w:rsidR="00CE2752" w:rsidRPr="009B5B67" w:rsidRDefault="00CE2752" w:rsidP="00CE2752">
            <w:pPr>
              <w:spacing w:after="0"/>
              <w:rPr>
                <w:rFonts w:cs="Arial"/>
                <w:szCs w:val="20"/>
                <w:lang w:val="en-GB"/>
              </w:rPr>
            </w:pPr>
            <w:r>
              <w:rPr>
                <w:lang w:val="en-US"/>
              </w:rPr>
              <w:t>I</w:t>
            </w:r>
            <w:r w:rsidRPr="00CE2752">
              <w:rPr>
                <w:lang w:val="en-US"/>
              </w:rPr>
              <w:t>mproved food security</w:t>
            </w:r>
          </w:p>
        </w:tc>
      </w:tr>
      <w:tr w:rsidR="00AD3320" w:rsidRPr="000324FE" w14:paraId="5F788EE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8A4AE66"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00C34D49" w14:textId="0E4DAD21" w:rsidR="00AD3320" w:rsidRPr="009B5B67" w:rsidRDefault="001339FB" w:rsidP="001339FB">
            <w:pPr>
              <w:spacing w:after="0"/>
              <w:rPr>
                <w:rFonts w:cs="Arial"/>
                <w:szCs w:val="20"/>
                <w:lang w:val="en-GB"/>
              </w:rPr>
            </w:pPr>
            <w:r w:rsidRPr="003D44E8">
              <w:rPr>
                <w:lang w:val="en-US"/>
              </w:rPr>
              <w:t xml:space="preserve"> Can be combined with </w:t>
            </w:r>
            <w:r>
              <w:rPr>
                <w:lang w:val="en-US"/>
              </w:rPr>
              <w:t xml:space="preserve">the </w:t>
            </w:r>
            <w:r w:rsidRPr="003D44E8">
              <w:rPr>
                <w:lang w:val="en-US"/>
              </w:rPr>
              <w:t xml:space="preserve">agroforestry </w:t>
            </w:r>
            <w:proofErr w:type="spellStart"/>
            <w:r w:rsidRPr="003D44E8">
              <w:rPr>
                <w:lang w:val="en-US"/>
              </w:rPr>
              <w:t>NbS</w:t>
            </w:r>
            <w:proofErr w:type="spellEnd"/>
          </w:p>
        </w:tc>
      </w:tr>
      <w:tr w:rsidR="00AD3320" w:rsidRPr="009B5B67" w14:paraId="5E096AA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F0F4CA0"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78FB5C1B" w14:textId="77777777" w:rsidR="00AD3320" w:rsidRPr="009B5B67" w:rsidRDefault="00AD3320" w:rsidP="00AD3320">
            <w:pPr>
              <w:spacing w:after="0"/>
              <w:rPr>
                <w:rFonts w:cs="Arial"/>
                <w:szCs w:val="20"/>
                <w:lang w:val="en-GB"/>
              </w:rPr>
            </w:pPr>
            <w:r w:rsidRPr="009B5B67">
              <w:rPr>
                <w:rFonts w:cs="Arial"/>
                <w:szCs w:val="20"/>
                <w:lang w:val="en-GB"/>
              </w:rPr>
              <w:t>14.6 kt CO</w:t>
            </w:r>
            <w:r w:rsidRPr="009B5B67">
              <w:rPr>
                <w:rFonts w:cs="Arial"/>
                <w:szCs w:val="20"/>
                <w:vertAlign w:val="subscript"/>
                <w:lang w:val="en-GB"/>
              </w:rPr>
              <w:t>2</w:t>
            </w:r>
            <w:r w:rsidRPr="009B5B67">
              <w:rPr>
                <w:rFonts w:cs="Arial"/>
                <w:szCs w:val="20"/>
                <w:lang w:val="en-GB"/>
              </w:rPr>
              <w:t>eq</w:t>
            </w:r>
          </w:p>
        </w:tc>
      </w:tr>
      <w:tr w:rsidR="00AD3320" w:rsidRPr="009B5B67" w14:paraId="43CE9175"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A4E33DC"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15283D91"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7DC9D7F3"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6AF0EAB"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64D295CD"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436E767E" w14:textId="4AB5D537" w:rsidR="00AD3320" w:rsidRDefault="00AD3320" w:rsidP="00AD3320">
      <w:pPr>
        <w:spacing w:after="0"/>
        <w:rPr>
          <w:rFonts w:cs="Arial"/>
          <w:szCs w:val="20"/>
          <w:lang w:val="en-GB"/>
        </w:rPr>
      </w:pPr>
    </w:p>
    <w:tbl>
      <w:tblPr>
        <w:tblStyle w:val="TableGrid"/>
        <w:tblW w:w="23527" w:type="dxa"/>
        <w:tblCellMar>
          <w:top w:w="57" w:type="dxa"/>
          <w:bottom w:w="57" w:type="dxa"/>
        </w:tblCellMar>
        <w:tblLook w:val="04A0" w:firstRow="1" w:lastRow="0" w:firstColumn="1" w:lastColumn="0" w:noHBand="0" w:noVBand="1"/>
      </w:tblPr>
      <w:tblGrid>
        <w:gridCol w:w="4531"/>
        <w:gridCol w:w="9498"/>
        <w:gridCol w:w="9498"/>
      </w:tblGrid>
      <w:tr w:rsidR="008640B0" w:rsidRPr="000324FE" w14:paraId="05466819" w14:textId="77777777" w:rsidTr="008640B0">
        <w:trPr>
          <w:trHeight w:val="472"/>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5185FAF" w14:textId="5BAB4F39" w:rsidR="008640B0" w:rsidRPr="009B5B67" w:rsidRDefault="008640B0" w:rsidP="008640B0">
            <w:pPr>
              <w:spacing w:after="0"/>
              <w:rPr>
                <w:rFonts w:cs="Arial"/>
                <w:b/>
                <w:bCs/>
                <w:szCs w:val="20"/>
                <w:lang w:val="en-GB"/>
              </w:rPr>
            </w:pPr>
            <w:r w:rsidRPr="009B5B67">
              <w:rPr>
                <w:rFonts w:cs="Arial"/>
                <w:b/>
                <w:bCs/>
                <w:szCs w:val="20"/>
                <w:lang w:val="en-GB"/>
              </w:rPr>
              <w:t xml:space="preserve">Mitigation action </w:t>
            </w:r>
            <w:r w:rsidRPr="009B5B67">
              <w:rPr>
                <w:rFonts w:cs="Arial"/>
                <w:b/>
                <w:bCs/>
                <w:szCs w:val="20"/>
                <w:lang w:val="en-GB"/>
              </w:rPr>
              <w:fldChar w:fldCharType="begin"/>
            </w:r>
            <w:r w:rsidRPr="009B5B67">
              <w:rPr>
                <w:rFonts w:cs="Arial"/>
                <w:b/>
                <w:bCs/>
                <w:szCs w:val="20"/>
                <w:lang w:val="en-GB"/>
              </w:rPr>
              <w:instrText xml:space="preserve"> SEQ Mitigation_action \* ARABIC </w:instrText>
            </w:r>
            <w:r w:rsidRPr="009B5B67">
              <w:rPr>
                <w:rFonts w:cs="Arial"/>
                <w:b/>
                <w:bCs/>
                <w:szCs w:val="20"/>
                <w:lang w:val="en-GB"/>
              </w:rPr>
              <w:fldChar w:fldCharType="separate"/>
            </w:r>
            <w:r w:rsidR="00F57FA4">
              <w:rPr>
                <w:rFonts w:cs="Arial"/>
                <w:b/>
                <w:bCs/>
                <w:noProof/>
                <w:szCs w:val="20"/>
                <w:lang w:val="en-GB"/>
              </w:rPr>
              <w:t>15</w:t>
            </w:r>
            <w:r w:rsidRPr="009B5B67">
              <w:rPr>
                <w:rFonts w:cs="Arial"/>
                <w:b/>
                <w:bCs/>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E851D56" w14:textId="1E4D20B9" w:rsidR="008640B0" w:rsidRPr="008640B0" w:rsidRDefault="008640B0" w:rsidP="008640B0">
            <w:pPr>
              <w:spacing w:after="0"/>
              <w:rPr>
                <w:rFonts w:cs="Arial"/>
                <w:b/>
                <w:bCs/>
                <w:szCs w:val="20"/>
                <w:lang w:val="en-GB"/>
              </w:rPr>
            </w:pPr>
            <w:r w:rsidRPr="008640B0">
              <w:rPr>
                <w:rFonts w:cs="Arial"/>
                <w:b/>
                <w:bCs/>
                <w:szCs w:val="20"/>
                <w:lang w:val="en-GB"/>
              </w:rPr>
              <w:t>Breeding for higher milk yields</w:t>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1B9C41" w14:textId="7FEAD1F2" w:rsidR="008640B0" w:rsidRPr="009B5B67" w:rsidRDefault="008640B0" w:rsidP="008640B0">
            <w:pPr>
              <w:spacing w:after="0"/>
              <w:rPr>
                <w:rFonts w:cs="Arial"/>
                <w:b/>
                <w:bCs/>
                <w:szCs w:val="20"/>
                <w:lang w:val="en-GB"/>
              </w:rPr>
            </w:pPr>
          </w:p>
        </w:tc>
      </w:tr>
      <w:tr w:rsidR="008640B0" w:rsidRPr="000324FE" w14:paraId="2AA0602C"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79142B92" w14:textId="77777777" w:rsidR="008640B0" w:rsidRPr="009B5B67" w:rsidRDefault="008640B0" w:rsidP="008640B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tcPr>
          <w:p w14:paraId="77E288AA" w14:textId="0FED22CA" w:rsidR="008640B0" w:rsidRPr="008640B0" w:rsidRDefault="008640B0" w:rsidP="008640B0">
            <w:pPr>
              <w:spacing w:after="0"/>
              <w:rPr>
                <w:rFonts w:cs="Arial"/>
                <w:szCs w:val="20"/>
                <w:lang w:val="en-GB"/>
              </w:rPr>
            </w:pPr>
            <w:r w:rsidRPr="008640B0">
              <w:rPr>
                <w:szCs w:val="18"/>
                <w:lang w:val="en-GB"/>
              </w:rPr>
              <w:t>A genetic selection for cows with higher milk yields may reduce overall emissions if the cow herd is reduced due to limited market outlets. An increase in milk yields per cow will also increase emissions per cow but this may be overcompensated by reduced cow numbers, basically because the maintenance requirements of the cow herd are reduced. A precondition for this approach is that health problems may be avoided therefore, the breeding targets will combine productivity and robustness indicators. The necessity to improve milk yield and increase efficiency and competitiveness of the Serbian dairy producers is recognized in the Serbian Strategy for Agriculture and Rural Development as well as in the IPARD and National Programme for Agriculture 2018-2020.</w:t>
            </w:r>
          </w:p>
        </w:tc>
        <w:tc>
          <w:tcPr>
            <w:tcW w:w="9498" w:type="dxa"/>
            <w:tcBorders>
              <w:top w:val="single" w:sz="4" w:space="0" w:color="auto"/>
              <w:left w:val="single" w:sz="4" w:space="0" w:color="auto"/>
              <w:bottom w:val="single" w:sz="4" w:space="0" w:color="auto"/>
              <w:right w:val="single" w:sz="4" w:space="0" w:color="auto"/>
            </w:tcBorders>
          </w:tcPr>
          <w:p w14:paraId="15D86B7D" w14:textId="03C356B8" w:rsidR="008640B0" w:rsidRPr="009B5B67" w:rsidRDefault="008640B0" w:rsidP="008640B0">
            <w:pPr>
              <w:spacing w:after="0"/>
              <w:rPr>
                <w:rFonts w:cs="Arial"/>
                <w:szCs w:val="20"/>
                <w:lang w:val="en-GB"/>
              </w:rPr>
            </w:pPr>
          </w:p>
        </w:tc>
      </w:tr>
      <w:tr w:rsidR="008640B0" w:rsidRPr="000324FE" w14:paraId="62FD8A82"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65962F94" w14:textId="77777777" w:rsidR="008640B0" w:rsidRPr="009B5B67" w:rsidRDefault="008640B0" w:rsidP="008640B0">
            <w:pPr>
              <w:spacing w:after="0"/>
              <w:rPr>
                <w:rFonts w:cs="Arial"/>
                <w:szCs w:val="20"/>
                <w:lang w:val="en-GB"/>
              </w:rPr>
            </w:pPr>
            <w:r w:rsidRPr="009B5B67">
              <w:rPr>
                <w:rFonts w:cs="Arial"/>
                <w:szCs w:val="20"/>
                <w:lang w:val="en-GB"/>
              </w:rPr>
              <w:lastRenderedPageBreak/>
              <w:t>Indicators</w:t>
            </w:r>
          </w:p>
        </w:tc>
        <w:tc>
          <w:tcPr>
            <w:tcW w:w="9498" w:type="dxa"/>
            <w:tcBorders>
              <w:top w:val="single" w:sz="4" w:space="0" w:color="auto"/>
              <w:left w:val="single" w:sz="4" w:space="0" w:color="auto"/>
              <w:bottom w:val="single" w:sz="4" w:space="0" w:color="auto"/>
              <w:right w:val="single" w:sz="4" w:space="0" w:color="auto"/>
            </w:tcBorders>
          </w:tcPr>
          <w:p w14:paraId="0180F8EB" w14:textId="175C6119" w:rsidR="008640B0" w:rsidRPr="008640B0" w:rsidRDefault="008640B0" w:rsidP="008640B0">
            <w:pPr>
              <w:spacing w:after="0"/>
              <w:rPr>
                <w:rFonts w:cs="Arial"/>
                <w:szCs w:val="20"/>
                <w:lang w:val="en-GB"/>
              </w:rPr>
            </w:pPr>
            <w:r w:rsidRPr="008640B0">
              <w:rPr>
                <w:rFonts w:cs="Arial"/>
                <w:szCs w:val="20"/>
                <w:lang w:val="en-GB"/>
              </w:rPr>
              <w:t xml:space="preserve">Reduce GHG emissions in agriculture by 15% (including mitigation action 14) </w:t>
            </w:r>
          </w:p>
        </w:tc>
        <w:tc>
          <w:tcPr>
            <w:tcW w:w="9498" w:type="dxa"/>
            <w:tcBorders>
              <w:top w:val="single" w:sz="4" w:space="0" w:color="auto"/>
              <w:left w:val="single" w:sz="4" w:space="0" w:color="auto"/>
              <w:bottom w:val="single" w:sz="4" w:space="0" w:color="auto"/>
              <w:right w:val="single" w:sz="4" w:space="0" w:color="auto"/>
            </w:tcBorders>
            <w:hideMark/>
          </w:tcPr>
          <w:p w14:paraId="4DAC386D" w14:textId="48A1C7F6" w:rsidR="008640B0" w:rsidRPr="009B5B67" w:rsidRDefault="008640B0" w:rsidP="008640B0">
            <w:pPr>
              <w:spacing w:after="0"/>
              <w:rPr>
                <w:rFonts w:cs="Arial"/>
                <w:szCs w:val="20"/>
                <w:lang w:val="en-GB"/>
              </w:rPr>
            </w:pPr>
            <w:r w:rsidRPr="009B5B67">
              <w:rPr>
                <w:rFonts w:cs="Arial"/>
                <w:szCs w:val="20"/>
                <w:lang w:val="en-GB"/>
              </w:rPr>
              <w:t xml:space="preserve">Reduce GHG emissions in agriculture by 15% </w:t>
            </w:r>
          </w:p>
        </w:tc>
      </w:tr>
      <w:tr w:rsidR="008640B0" w:rsidRPr="000324FE" w14:paraId="3F79391A" w14:textId="77777777" w:rsidTr="008640B0">
        <w:trPr>
          <w:trHeight w:val="215"/>
        </w:trPr>
        <w:tc>
          <w:tcPr>
            <w:tcW w:w="4531" w:type="dxa"/>
            <w:tcBorders>
              <w:top w:val="single" w:sz="4" w:space="0" w:color="auto"/>
              <w:left w:val="single" w:sz="4" w:space="0" w:color="auto"/>
              <w:bottom w:val="single" w:sz="4" w:space="0" w:color="auto"/>
              <w:right w:val="single" w:sz="4" w:space="0" w:color="auto"/>
            </w:tcBorders>
            <w:hideMark/>
          </w:tcPr>
          <w:p w14:paraId="33B7800F" w14:textId="77777777" w:rsidR="008640B0" w:rsidRPr="009B5B67" w:rsidRDefault="008640B0" w:rsidP="008640B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tcPr>
          <w:p w14:paraId="07301F0D" w14:textId="4E05BB05" w:rsidR="008640B0" w:rsidRPr="008640B0" w:rsidRDefault="008640B0" w:rsidP="008640B0">
            <w:pPr>
              <w:spacing w:after="0"/>
              <w:rPr>
                <w:rFonts w:cs="Arial"/>
                <w:szCs w:val="20"/>
                <w:lang w:val="en-GB"/>
              </w:rPr>
            </w:pPr>
            <w:r w:rsidRPr="008640B0">
              <w:rPr>
                <w:rFonts w:cs="Arial"/>
                <w:szCs w:val="20"/>
                <w:lang w:val="en-GB"/>
              </w:rPr>
              <w:t>Incentive; Informational-Educational; organizational-governance-institutional</w:t>
            </w:r>
          </w:p>
        </w:tc>
        <w:tc>
          <w:tcPr>
            <w:tcW w:w="9498" w:type="dxa"/>
            <w:tcBorders>
              <w:top w:val="single" w:sz="4" w:space="0" w:color="auto"/>
              <w:left w:val="single" w:sz="4" w:space="0" w:color="auto"/>
              <w:bottom w:val="single" w:sz="4" w:space="0" w:color="auto"/>
              <w:right w:val="single" w:sz="4" w:space="0" w:color="auto"/>
            </w:tcBorders>
            <w:hideMark/>
          </w:tcPr>
          <w:p w14:paraId="21B88955" w14:textId="4BDA0CF6" w:rsidR="008640B0" w:rsidRPr="009B5B67" w:rsidRDefault="008640B0" w:rsidP="008640B0">
            <w:pPr>
              <w:spacing w:after="0"/>
              <w:rPr>
                <w:rFonts w:cs="Arial"/>
                <w:szCs w:val="20"/>
                <w:lang w:val="en-GB"/>
              </w:rPr>
            </w:pPr>
          </w:p>
        </w:tc>
      </w:tr>
      <w:tr w:rsidR="008640B0" w:rsidRPr="009B5B67" w14:paraId="28230885"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28906F44" w14:textId="77777777" w:rsidR="008640B0" w:rsidRPr="009B5B67" w:rsidRDefault="008640B0" w:rsidP="008640B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tcPr>
          <w:p w14:paraId="6779E96C" w14:textId="4CE49ED5" w:rsidR="008640B0" w:rsidRPr="008640B0" w:rsidRDefault="008640B0" w:rsidP="008640B0">
            <w:pPr>
              <w:spacing w:after="0"/>
              <w:rPr>
                <w:rFonts w:cs="Arial"/>
                <w:szCs w:val="20"/>
                <w:lang w:val="en-GB"/>
              </w:rPr>
            </w:pPr>
            <w:r w:rsidRPr="008640B0">
              <w:rPr>
                <w:rFonts w:cs="Arial"/>
                <w:szCs w:val="20"/>
                <w:lang w:val="en-GB"/>
              </w:rPr>
              <w:t>Planned</w:t>
            </w:r>
          </w:p>
        </w:tc>
        <w:tc>
          <w:tcPr>
            <w:tcW w:w="9498" w:type="dxa"/>
            <w:tcBorders>
              <w:top w:val="single" w:sz="4" w:space="0" w:color="auto"/>
              <w:left w:val="single" w:sz="4" w:space="0" w:color="auto"/>
              <w:bottom w:val="single" w:sz="4" w:space="0" w:color="auto"/>
              <w:right w:val="single" w:sz="4" w:space="0" w:color="auto"/>
            </w:tcBorders>
            <w:hideMark/>
          </w:tcPr>
          <w:p w14:paraId="48094EDB" w14:textId="5C23E0F4" w:rsidR="008640B0" w:rsidRPr="009B5B67" w:rsidRDefault="008640B0" w:rsidP="008640B0">
            <w:pPr>
              <w:spacing w:after="0"/>
              <w:rPr>
                <w:rFonts w:cs="Arial"/>
                <w:szCs w:val="20"/>
                <w:lang w:val="en-GB"/>
              </w:rPr>
            </w:pPr>
            <w:r w:rsidRPr="009B5B67">
              <w:rPr>
                <w:rFonts w:cs="Arial"/>
                <w:szCs w:val="20"/>
                <w:lang w:val="en-GB"/>
              </w:rPr>
              <w:t>Planned</w:t>
            </w:r>
          </w:p>
        </w:tc>
      </w:tr>
      <w:tr w:rsidR="008640B0" w:rsidRPr="009B5B67" w14:paraId="2057B5DB"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630A8B70" w14:textId="77777777" w:rsidR="008640B0" w:rsidRPr="009B5B67" w:rsidRDefault="008640B0" w:rsidP="008640B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tcPr>
          <w:p w14:paraId="5F4F2B4A" w14:textId="79AE406B" w:rsidR="008640B0" w:rsidRPr="008640B0" w:rsidRDefault="008640B0" w:rsidP="008640B0">
            <w:pPr>
              <w:spacing w:after="0"/>
              <w:rPr>
                <w:rFonts w:cs="Arial"/>
                <w:szCs w:val="20"/>
                <w:lang w:val="en-GB"/>
              </w:rPr>
            </w:pPr>
            <w:r w:rsidRPr="008640B0">
              <w:rPr>
                <w:rFonts w:cs="Arial"/>
                <w:szCs w:val="20"/>
                <w:lang w:val="en-GB"/>
              </w:rPr>
              <w:t>Agriculture</w:t>
            </w:r>
          </w:p>
        </w:tc>
        <w:tc>
          <w:tcPr>
            <w:tcW w:w="9498" w:type="dxa"/>
            <w:tcBorders>
              <w:top w:val="single" w:sz="4" w:space="0" w:color="auto"/>
              <w:left w:val="single" w:sz="4" w:space="0" w:color="auto"/>
              <w:bottom w:val="single" w:sz="4" w:space="0" w:color="auto"/>
              <w:right w:val="single" w:sz="4" w:space="0" w:color="auto"/>
            </w:tcBorders>
            <w:hideMark/>
          </w:tcPr>
          <w:p w14:paraId="26943F93" w14:textId="4AFCCCF2" w:rsidR="008640B0" w:rsidRPr="009B5B67" w:rsidRDefault="008640B0" w:rsidP="008640B0">
            <w:pPr>
              <w:spacing w:after="0"/>
              <w:rPr>
                <w:rFonts w:cs="Arial"/>
                <w:szCs w:val="20"/>
                <w:lang w:val="en-GB"/>
              </w:rPr>
            </w:pPr>
            <w:r w:rsidRPr="009B5B67">
              <w:rPr>
                <w:rFonts w:cs="Arial"/>
                <w:szCs w:val="20"/>
                <w:lang w:val="en-GB"/>
              </w:rPr>
              <w:t>Agriculture</w:t>
            </w:r>
          </w:p>
        </w:tc>
      </w:tr>
      <w:tr w:rsidR="008640B0" w:rsidRPr="009B5B67" w14:paraId="371259E1"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5FE86906" w14:textId="77777777" w:rsidR="008640B0" w:rsidRPr="009B5B67" w:rsidRDefault="008640B0" w:rsidP="008640B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tcPr>
          <w:p w14:paraId="61958D82" w14:textId="2CEA506B" w:rsidR="008640B0" w:rsidRPr="008640B0" w:rsidRDefault="008640B0" w:rsidP="008640B0">
            <w:pPr>
              <w:spacing w:after="0"/>
              <w:rPr>
                <w:rFonts w:cs="Arial"/>
                <w:szCs w:val="20"/>
                <w:lang w:val="en-GB"/>
              </w:rPr>
            </w:pPr>
            <w:r w:rsidRPr="008640B0">
              <w:rPr>
                <w:rFonts w:cs="Arial"/>
                <w:szCs w:val="20"/>
                <w:lang w:val="en-GB"/>
              </w:rPr>
              <w:t>CH4</w:t>
            </w:r>
          </w:p>
        </w:tc>
        <w:tc>
          <w:tcPr>
            <w:tcW w:w="9498" w:type="dxa"/>
            <w:tcBorders>
              <w:top w:val="single" w:sz="4" w:space="0" w:color="auto"/>
              <w:left w:val="single" w:sz="4" w:space="0" w:color="auto"/>
              <w:bottom w:val="single" w:sz="4" w:space="0" w:color="auto"/>
              <w:right w:val="single" w:sz="4" w:space="0" w:color="auto"/>
            </w:tcBorders>
            <w:hideMark/>
          </w:tcPr>
          <w:p w14:paraId="7211FC8B" w14:textId="7B3CABBE" w:rsidR="008640B0" w:rsidRPr="009B5B67" w:rsidRDefault="008640B0" w:rsidP="008640B0">
            <w:pPr>
              <w:spacing w:after="0"/>
              <w:rPr>
                <w:rFonts w:cs="Arial"/>
                <w:szCs w:val="20"/>
                <w:lang w:val="en-GB"/>
              </w:rPr>
            </w:pPr>
          </w:p>
        </w:tc>
      </w:tr>
      <w:tr w:rsidR="008640B0" w:rsidRPr="009B5B67" w14:paraId="307D74A5"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560EF078" w14:textId="77777777" w:rsidR="008640B0" w:rsidRPr="009B5B67" w:rsidRDefault="008640B0" w:rsidP="008640B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tcPr>
          <w:p w14:paraId="019CBE0D" w14:textId="341BE2FA" w:rsidR="008640B0" w:rsidRPr="008640B0" w:rsidRDefault="008640B0" w:rsidP="008640B0">
            <w:pPr>
              <w:spacing w:after="0"/>
              <w:rPr>
                <w:rFonts w:cs="Arial"/>
                <w:szCs w:val="20"/>
                <w:lang w:val="en-GB"/>
              </w:rPr>
            </w:pPr>
            <w:r w:rsidRPr="008640B0">
              <w:rPr>
                <w:rFonts w:cs="Arial"/>
                <w:szCs w:val="20"/>
                <w:lang w:val="en-GB"/>
              </w:rPr>
              <w:t>2022</w:t>
            </w:r>
          </w:p>
        </w:tc>
        <w:tc>
          <w:tcPr>
            <w:tcW w:w="9498" w:type="dxa"/>
            <w:tcBorders>
              <w:top w:val="single" w:sz="4" w:space="0" w:color="auto"/>
              <w:left w:val="single" w:sz="4" w:space="0" w:color="auto"/>
              <w:bottom w:val="single" w:sz="4" w:space="0" w:color="auto"/>
              <w:right w:val="single" w:sz="4" w:space="0" w:color="auto"/>
            </w:tcBorders>
            <w:hideMark/>
          </w:tcPr>
          <w:p w14:paraId="162BFC5F" w14:textId="4162AD3C" w:rsidR="008640B0" w:rsidRPr="009B5B67" w:rsidRDefault="008640B0" w:rsidP="008640B0">
            <w:pPr>
              <w:spacing w:after="0"/>
              <w:rPr>
                <w:rFonts w:cs="Arial"/>
                <w:szCs w:val="20"/>
                <w:lang w:val="en-GB"/>
              </w:rPr>
            </w:pPr>
            <w:r w:rsidRPr="009B5B67">
              <w:rPr>
                <w:rFonts w:cs="Arial"/>
                <w:szCs w:val="20"/>
                <w:lang w:val="en-GB"/>
              </w:rPr>
              <w:t>2021</w:t>
            </w:r>
          </w:p>
        </w:tc>
      </w:tr>
      <w:tr w:rsidR="008640B0" w:rsidRPr="000324FE" w14:paraId="1BCE9BAC"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57F0B741" w14:textId="77777777" w:rsidR="008640B0" w:rsidRPr="009B5B67" w:rsidRDefault="008640B0" w:rsidP="008640B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tcPr>
          <w:p w14:paraId="5C1C9E48" w14:textId="2CDF5CF3" w:rsidR="008640B0" w:rsidRPr="008640B0" w:rsidRDefault="008640B0" w:rsidP="008640B0">
            <w:pPr>
              <w:spacing w:after="0"/>
              <w:rPr>
                <w:rFonts w:cs="Arial"/>
                <w:szCs w:val="20"/>
                <w:lang w:val="en-GB"/>
              </w:rPr>
            </w:pPr>
            <w:r w:rsidRPr="008640B0">
              <w:rPr>
                <w:rFonts w:cs="Arial"/>
                <w:szCs w:val="20"/>
                <w:lang w:val="en-GB"/>
              </w:rPr>
              <w:t>Ministry of Agriculture, Forestry and Water Management, Directorate for Agrarian payments, Veterinary Directorate, Chamber of Commerce of Republic of Serbia, Research institutions</w:t>
            </w:r>
          </w:p>
        </w:tc>
        <w:tc>
          <w:tcPr>
            <w:tcW w:w="9498" w:type="dxa"/>
            <w:tcBorders>
              <w:top w:val="single" w:sz="4" w:space="0" w:color="auto"/>
              <w:left w:val="single" w:sz="4" w:space="0" w:color="auto"/>
              <w:bottom w:val="single" w:sz="4" w:space="0" w:color="auto"/>
              <w:right w:val="single" w:sz="4" w:space="0" w:color="auto"/>
            </w:tcBorders>
          </w:tcPr>
          <w:p w14:paraId="48B3263C" w14:textId="7533B7BC" w:rsidR="008640B0" w:rsidRPr="009B5B67" w:rsidRDefault="008640B0" w:rsidP="008640B0">
            <w:pPr>
              <w:spacing w:after="0"/>
              <w:rPr>
                <w:rFonts w:cs="Arial"/>
                <w:szCs w:val="20"/>
                <w:lang w:val="en-GB"/>
              </w:rPr>
            </w:pPr>
          </w:p>
        </w:tc>
      </w:tr>
      <w:tr w:rsidR="008640B0" w:rsidRPr="009B5B67" w14:paraId="455124D1"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6036E116" w14:textId="77777777" w:rsidR="008640B0" w:rsidRPr="009B5B67" w:rsidRDefault="008640B0" w:rsidP="008640B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tcPr>
          <w:p w14:paraId="4E635BE8" w14:textId="0FFD9EBC" w:rsidR="008640B0" w:rsidRPr="008640B0" w:rsidRDefault="008640B0" w:rsidP="008640B0">
            <w:pPr>
              <w:spacing w:after="0"/>
              <w:rPr>
                <w:rFonts w:cs="Arial"/>
                <w:szCs w:val="20"/>
                <w:lang w:val="en-GB"/>
              </w:rPr>
            </w:pPr>
            <w:r w:rsidRPr="008640B0">
              <w:rPr>
                <w:rFonts w:cs="Arial"/>
                <w:szCs w:val="20"/>
                <w:lang w:val="en-GB"/>
              </w:rPr>
              <w:t>The additional investment costs: 1,5 Mio. EURO</w:t>
            </w:r>
          </w:p>
        </w:tc>
        <w:tc>
          <w:tcPr>
            <w:tcW w:w="9498" w:type="dxa"/>
            <w:tcBorders>
              <w:top w:val="single" w:sz="4" w:space="0" w:color="auto"/>
              <w:left w:val="single" w:sz="4" w:space="0" w:color="auto"/>
              <w:bottom w:val="single" w:sz="4" w:space="0" w:color="auto"/>
              <w:right w:val="single" w:sz="4" w:space="0" w:color="auto"/>
            </w:tcBorders>
          </w:tcPr>
          <w:p w14:paraId="3465ED66" w14:textId="50F1269E" w:rsidR="008640B0" w:rsidRPr="009B5B67" w:rsidRDefault="008640B0" w:rsidP="008640B0">
            <w:pPr>
              <w:spacing w:after="0"/>
              <w:rPr>
                <w:rFonts w:cs="Arial"/>
                <w:szCs w:val="20"/>
                <w:lang w:val="en-GB"/>
              </w:rPr>
            </w:pPr>
          </w:p>
        </w:tc>
      </w:tr>
      <w:tr w:rsidR="008640B0" w:rsidRPr="009D39F3" w14:paraId="07C6D2E8"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54FE39B2" w14:textId="77777777" w:rsidR="008640B0" w:rsidRPr="009B5B67" w:rsidRDefault="008640B0" w:rsidP="008640B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tcPr>
          <w:p w14:paraId="48D0E73F" w14:textId="77777777" w:rsidR="008640B0" w:rsidRDefault="008640B0" w:rsidP="008640B0">
            <w:pPr>
              <w:spacing w:after="0"/>
              <w:rPr>
                <w:rFonts w:cs="Arial"/>
                <w:color w:val="FF0000"/>
                <w:szCs w:val="20"/>
                <w:lang w:val="en-GB" w:eastAsia="de-DE"/>
              </w:rPr>
            </w:pPr>
            <w:r w:rsidRPr="008640B0">
              <w:rPr>
                <w:rFonts w:cs="Arial"/>
                <w:color w:val="FF0000"/>
                <w:szCs w:val="20"/>
                <w:lang w:val="en-GB" w:eastAsia="de-DE"/>
              </w:rPr>
              <w:t>Reduces Short-Lived Climate-forcing Pollutants (SLCPs)</w:t>
            </w:r>
          </w:p>
          <w:p w14:paraId="2D40F5D5" w14:textId="77777777" w:rsidR="008640B0" w:rsidRDefault="008640B0" w:rsidP="008640B0">
            <w:pPr>
              <w:spacing w:after="0"/>
              <w:rPr>
                <w:lang w:val="en-US"/>
              </w:rPr>
            </w:pPr>
            <w:r w:rsidRPr="003D44E8">
              <w:rPr>
                <w:lang w:val="en-US"/>
              </w:rPr>
              <w:t xml:space="preserve">Soil erosion control and improved landscape water absorption, retention and reduced </w:t>
            </w:r>
            <w:proofErr w:type="gramStart"/>
            <w:r w:rsidRPr="003D44E8">
              <w:rPr>
                <w:lang w:val="en-US"/>
              </w:rPr>
              <w:t>runoff;</w:t>
            </w:r>
            <w:proofErr w:type="gramEnd"/>
            <w:r w:rsidRPr="003D44E8">
              <w:rPr>
                <w:lang w:val="en-US"/>
              </w:rPr>
              <w:t xml:space="preserve"> </w:t>
            </w:r>
          </w:p>
          <w:p w14:paraId="0C2C2304" w14:textId="77777777" w:rsidR="008640B0" w:rsidRDefault="008640B0" w:rsidP="008640B0">
            <w:pPr>
              <w:spacing w:after="0"/>
              <w:rPr>
                <w:lang w:val="en-US"/>
              </w:rPr>
            </w:pPr>
            <w:r>
              <w:rPr>
                <w:lang w:val="en-US"/>
              </w:rPr>
              <w:t>I</w:t>
            </w:r>
            <w:r w:rsidRPr="003D44E8">
              <w:rPr>
                <w:lang w:val="en-US"/>
              </w:rPr>
              <w:t>mproved water quality</w:t>
            </w:r>
          </w:p>
          <w:p w14:paraId="1B44EBC1" w14:textId="77777777" w:rsidR="008640B0" w:rsidRDefault="008640B0" w:rsidP="008640B0">
            <w:pPr>
              <w:spacing w:after="0"/>
              <w:rPr>
                <w:lang w:val="en-US"/>
              </w:rPr>
            </w:pPr>
            <w:r>
              <w:rPr>
                <w:lang w:val="en-US"/>
              </w:rPr>
              <w:t>I</w:t>
            </w:r>
            <w:r w:rsidRPr="003D44E8">
              <w:rPr>
                <w:lang w:val="en-US"/>
              </w:rPr>
              <w:t xml:space="preserve">ncreased biodiversity in soils and </w:t>
            </w:r>
            <w:proofErr w:type="spellStart"/>
            <w:r w:rsidRPr="003D44E8">
              <w:rPr>
                <w:lang w:val="en-US"/>
              </w:rPr>
              <w:t>agri</w:t>
            </w:r>
            <w:proofErr w:type="spellEnd"/>
            <w:r w:rsidRPr="003D44E8">
              <w:rPr>
                <w:lang w:val="en-US"/>
              </w:rPr>
              <w:t>-landscapes</w:t>
            </w:r>
          </w:p>
          <w:p w14:paraId="57BE5309" w14:textId="73EB0C54" w:rsidR="008640B0" w:rsidRPr="008640B0" w:rsidRDefault="008640B0" w:rsidP="008640B0">
            <w:pPr>
              <w:spacing w:after="0"/>
              <w:rPr>
                <w:rFonts w:cs="Arial"/>
                <w:szCs w:val="20"/>
                <w:lang w:val="en-GB"/>
              </w:rPr>
            </w:pPr>
            <w:r>
              <w:rPr>
                <w:lang w:val="en-US"/>
              </w:rPr>
              <w:t>I</w:t>
            </w:r>
            <w:r w:rsidRPr="008640B0">
              <w:rPr>
                <w:lang w:val="en-US"/>
              </w:rPr>
              <w:t>mproved food security</w:t>
            </w:r>
          </w:p>
        </w:tc>
        <w:tc>
          <w:tcPr>
            <w:tcW w:w="9498" w:type="dxa"/>
            <w:tcBorders>
              <w:top w:val="single" w:sz="4" w:space="0" w:color="auto"/>
              <w:left w:val="single" w:sz="4" w:space="0" w:color="auto"/>
              <w:bottom w:val="single" w:sz="4" w:space="0" w:color="auto"/>
              <w:right w:val="single" w:sz="4" w:space="0" w:color="auto"/>
            </w:tcBorders>
          </w:tcPr>
          <w:p w14:paraId="4E860DA8" w14:textId="54C9AB52" w:rsidR="008640B0" w:rsidRPr="009B5B67" w:rsidRDefault="008640B0" w:rsidP="008640B0">
            <w:pPr>
              <w:spacing w:after="0"/>
              <w:rPr>
                <w:rFonts w:cs="Arial"/>
                <w:szCs w:val="20"/>
                <w:lang w:val="en-GB"/>
              </w:rPr>
            </w:pPr>
          </w:p>
        </w:tc>
      </w:tr>
      <w:tr w:rsidR="008640B0" w:rsidRPr="000324FE" w14:paraId="2179C689"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7195BED5" w14:textId="77777777" w:rsidR="008640B0" w:rsidRPr="009B5B67" w:rsidRDefault="008640B0" w:rsidP="008640B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tcPr>
          <w:p w14:paraId="62C35056" w14:textId="3F4CCBBC" w:rsidR="008640B0" w:rsidRPr="008640B0" w:rsidRDefault="008640B0" w:rsidP="008640B0">
            <w:pPr>
              <w:spacing w:after="0"/>
              <w:rPr>
                <w:rFonts w:cs="Arial"/>
                <w:szCs w:val="20"/>
                <w:lang w:val="en-GB"/>
              </w:rPr>
            </w:pPr>
            <w:r w:rsidRPr="003D44E8">
              <w:rPr>
                <w:lang w:val="en-US"/>
              </w:rPr>
              <w:t xml:space="preserve">Can be combined with the agroforestry </w:t>
            </w:r>
            <w:proofErr w:type="spellStart"/>
            <w:r w:rsidRPr="003D44E8">
              <w:rPr>
                <w:lang w:val="en-US"/>
              </w:rPr>
              <w:t>NbS</w:t>
            </w:r>
            <w:proofErr w:type="spellEnd"/>
          </w:p>
        </w:tc>
        <w:tc>
          <w:tcPr>
            <w:tcW w:w="9498" w:type="dxa"/>
            <w:tcBorders>
              <w:top w:val="single" w:sz="4" w:space="0" w:color="auto"/>
              <w:left w:val="single" w:sz="4" w:space="0" w:color="auto"/>
              <w:bottom w:val="single" w:sz="4" w:space="0" w:color="auto"/>
              <w:right w:val="single" w:sz="4" w:space="0" w:color="auto"/>
            </w:tcBorders>
          </w:tcPr>
          <w:p w14:paraId="18C6E632" w14:textId="3B846FD7" w:rsidR="008640B0" w:rsidRPr="009B5B67" w:rsidRDefault="008640B0" w:rsidP="008640B0">
            <w:pPr>
              <w:spacing w:after="0"/>
              <w:rPr>
                <w:rFonts w:cs="Arial"/>
                <w:szCs w:val="20"/>
                <w:lang w:val="en-GB"/>
              </w:rPr>
            </w:pPr>
          </w:p>
        </w:tc>
      </w:tr>
      <w:tr w:rsidR="008640B0" w:rsidRPr="000324FE" w14:paraId="6EDEEC75"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57C23C5A" w14:textId="77777777" w:rsidR="008640B0" w:rsidRPr="009B5B67" w:rsidRDefault="008640B0" w:rsidP="008640B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tcPr>
          <w:p w14:paraId="37AFB8F3" w14:textId="6B4A6D24" w:rsidR="008640B0" w:rsidRPr="008640B0" w:rsidRDefault="008640B0" w:rsidP="008640B0">
            <w:pPr>
              <w:spacing w:after="0"/>
              <w:rPr>
                <w:rFonts w:cs="Arial"/>
                <w:szCs w:val="20"/>
                <w:lang w:val="en-GB"/>
              </w:rPr>
            </w:pPr>
            <w:r w:rsidRPr="008640B0">
              <w:rPr>
                <w:rFonts w:cs="Arial"/>
                <w:szCs w:val="20"/>
                <w:lang w:val="en-GB"/>
              </w:rPr>
              <w:t>The emission savings of breeding measures are considered in the total savings, but CAPRI model used for assessment of emission reductions in agriculture sector cannot assign them to the single breeding measures</w:t>
            </w:r>
          </w:p>
        </w:tc>
        <w:tc>
          <w:tcPr>
            <w:tcW w:w="9498" w:type="dxa"/>
            <w:tcBorders>
              <w:top w:val="single" w:sz="4" w:space="0" w:color="auto"/>
              <w:left w:val="single" w:sz="4" w:space="0" w:color="auto"/>
              <w:bottom w:val="single" w:sz="4" w:space="0" w:color="auto"/>
              <w:right w:val="single" w:sz="4" w:space="0" w:color="auto"/>
            </w:tcBorders>
          </w:tcPr>
          <w:p w14:paraId="51922694" w14:textId="79EDED26" w:rsidR="008640B0" w:rsidRPr="009B5B67" w:rsidRDefault="008640B0" w:rsidP="008640B0">
            <w:pPr>
              <w:spacing w:after="0"/>
              <w:rPr>
                <w:rFonts w:cs="Arial"/>
                <w:szCs w:val="20"/>
                <w:lang w:val="en-GB"/>
              </w:rPr>
            </w:pPr>
          </w:p>
        </w:tc>
      </w:tr>
      <w:tr w:rsidR="008640B0" w:rsidRPr="009B5B67" w14:paraId="5817ED6A"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79222588" w14:textId="77777777" w:rsidR="008640B0" w:rsidRPr="009B5B67" w:rsidRDefault="008640B0" w:rsidP="008640B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tcPr>
          <w:p w14:paraId="07F57B8A" w14:textId="2149FB96" w:rsidR="008640B0" w:rsidRPr="008640B0" w:rsidRDefault="008640B0" w:rsidP="008640B0">
            <w:pPr>
              <w:spacing w:after="0"/>
              <w:rPr>
                <w:rFonts w:cs="Arial"/>
                <w:szCs w:val="20"/>
                <w:lang w:val="en-GB"/>
              </w:rPr>
            </w:pPr>
            <w:r w:rsidRPr="008640B0">
              <w:rPr>
                <w:rFonts w:cs="Arial"/>
                <w:szCs w:val="20"/>
                <w:lang w:val="en-GB"/>
              </w:rPr>
              <w:t>2025</w:t>
            </w:r>
          </w:p>
        </w:tc>
        <w:tc>
          <w:tcPr>
            <w:tcW w:w="9498" w:type="dxa"/>
            <w:tcBorders>
              <w:top w:val="single" w:sz="4" w:space="0" w:color="auto"/>
              <w:left w:val="single" w:sz="4" w:space="0" w:color="auto"/>
              <w:bottom w:val="single" w:sz="4" w:space="0" w:color="auto"/>
              <w:right w:val="single" w:sz="4" w:space="0" w:color="auto"/>
            </w:tcBorders>
            <w:hideMark/>
          </w:tcPr>
          <w:p w14:paraId="2E06DB4D" w14:textId="6B571CB7" w:rsidR="008640B0" w:rsidRPr="009B5B67" w:rsidRDefault="008640B0" w:rsidP="008640B0">
            <w:pPr>
              <w:spacing w:after="0"/>
              <w:rPr>
                <w:rFonts w:cs="Arial"/>
                <w:szCs w:val="20"/>
                <w:lang w:val="en-GB"/>
              </w:rPr>
            </w:pPr>
            <w:r w:rsidRPr="009B5B67">
              <w:rPr>
                <w:rFonts w:cs="Arial"/>
                <w:szCs w:val="20"/>
                <w:lang w:val="en-GB"/>
              </w:rPr>
              <w:t>2030</w:t>
            </w:r>
          </w:p>
        </w:tc>
      </w:tr>
      <w:tr w:rsidR="008640B0" w:rsidRPr="009B5B67" w14:paraId="3850EB10" w14:textId="77777777" w:rsidTr="008640B0">
        <w:tc>
          <w:tcPr>
            <w:tcW w:w="4531" w:type="dxa"/>
            <w:tcBorders>
              <w:top w:val="single" w:sz="4" w:space="0" w:color="auto"/>
              <w:left w:val="single" w:sz="4" w:space="0" w:color="auto"/>
              <w:bottom w:val="single" w:sz="4" w:space="0" w:color="auto"/>
              <w:right w:val="single" w:sz="4" w:space="0" w:color="auto"/>
            </w:tcBorders>
            <w:hideMark/>
          </w:tcPr>
          <w:p w14:paraId="28FBF08C" w14:textId="77777777" w:rsidR="008640B0" w:rsidRPr="009B5B67" w:rsidRDefault="008640B0" w:rsidP="008640B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tcPr>
          <w:p w14:paraId="2BFA798D" w14:textId="2E45668F" w:rsidR="008640B0" w:rsidRPr="008640B0" w:rsidRDefault="008640B0" w:rsidP="008640B0">
            <w:pPr>
              <w:spacing w:after="0"/>
              <w:rPr>
                <w:rFonts w:cs="Arial"/>
                <w:szCs w:val="20"/>
                <w:lang w:val="en-GB"/>
              </w:rPr>
            </w:pPr>
            <w:r w:rsidRPr="008640B0">
              <w:rPr>
                <w:rFonts w:cs="Arial"/>
                <w:szCs w:val="20"/>
                <w:lang w:val="en-GB"/>
              </w:rPr>
              <w:t>-</w:t>
            </w:r>
          </w:p>
        </w:tc>
        <w:tc>
          <w:tcPr>
            <w:tcW w:w="9498" w:type="dxa"/>
            <w:tcBorders>
              <w:top w:val="single" w:sz="4" w:space="0" w:color="auto"/>
              <w:left w:val="single" w:sz="4" w:space="0" w:color="auto"/>
              <w:bottom w:val="single" w:sz="4" w:space="0" w:color="auto"/>
              <w:right w:val="single" w:sz="4" w:space="0" w:color="auto"/>
            </w:tcBorders>
            <w:hideMark/>
          </w:tcPr>
          <w:p w14:paraId="6447FA0F" w14:textId="6F9115B3" w:rsidR="008640B0" w:rsidRPr="009B5B67" w:rsidRDefault="008640B0" w:rsidP="008640B0">
            <w:pPr>
              <w:spacing w:after="0"/>
              <w:rPr>
                <w:rFonts w:cs="Arial"/>
                <w:szCs w:val="20"/>
                <w:lang w:val="en-GB"/>
              </w:rPr>
            </w:pPr>
            <w:r w:rsidRPr="009B5B67">
              <w:rPr>
                <w:rFonts w:cs="Arial"/>
                <w:szCs w:val="20"/>
                <w:lang w:val="en-GB"/>
              </w:rPr>
              <w:t>-</w:t>
            </w:r>
          </w:p>
        </w:tc>
      </w:tr>
    </w:tbl>
    <w:p w14:paraId="3CC18B67" w14:textId="5DF84AF8" w:rsidR="001339FB" w:rsidRDefault="001339FB" w:rsidP="00AD3320">
      <w:pPr>
        <w:spacing w:after="0"/>
        <w:rPr>
          <w:rFonts w:cs="Arial"/>
          <w:szCs w:val="20"/>
          <w:lang w:val="en-GB"/>
        </w:rPr>
      </w:pPr>
    </w:p>
    <w:p w14:paraId="1960F944" w14:textId="1256436C" w:rsidR="001339FB" w:rsidRDefault="001339FB" w:rsidP="00AD3320">
      <w:pPr>
        <w:spacing w:after="0"/>
        <w:rPr>
          <w:rFonts w:cs="Arial"/>
          <w:szCs w:val="20"/>
          <w:lang w:val="en-GB"/>
        </w:rPr>
      </w:pPr>
    </w:p>
    <w:p w14:paraId="12653CEF" w14:textId="77777777" w:rsidR="001339FB" w:rsidRPr="009B5B67" w:rsidRDefault="001339FB"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9B5B67" w14:paraId="22A6B07E" w14:textId="77777777" w:rsidTr="00AD3320">
        <w:trPr>
          <w:trHeight w:val="433"/>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FC4AB4B" w14:textId="62D89C15" w:rsidR="00AD3320" w:rsidRPr="009B5B67" w:rsidRDefault="00AD3320" w:rsidP="00AD3320">
            <w:pPr>
              <w:spacing w:after="0"/>
              <w:rPr>
                <w:rFonts w:cs="Arial"/>
                <w:b/>
                <w:bCs/>
                <w:szCs w:val="20"/>
                <w:lang w:val="en-GB"/>
              </w:rPr>
            </w:pPr>
            <w:r w:rsidRPr="009B5B67">
              <w:rPr>
                <w:rFonts w:cs="Arial"/>
                <w:b/>
                <w:bCs/>
                <w:szCs w:val="20"/>
                <w:lang w:val="en-GB"/>
              </w:rPr>
              <w:lastRenderedPageBreak/>
              <w:t xml:space="preserve">Mitigation action </w:t>
            </w:r>
            <w:r w:rsidRPr="009B5B67">
              <w:rPr>
                <w:rFonts w:cs="Arial"/>
                <w:b/>
                <w:bCs/>
                <w:szCs w:val="20"/>
                <w:lang w:val="en-GB"/>
              </w:rPr>
              <w:fldChar w:fldCharType="begin"/>
            </w:r>
            <w:r w:rsidRPr="009B5B67">
              <w:rPr>
                <w:rFonts w:cs="Arial"/>
                <w:b/>
                <w:bCs/>
                <w:szCs w:val="20"/>
                <w:lang w:val="en-GB"/>
              </w:rPr>
              <w:instrText xml:space="preserve"> SEQ Mitigation_action \* ARABIC </w:instrText>
            </w:r>
            <w:r w:rsidRPr="009B5B67">
              <w:rPr>
                <w:rFonts w:cs="Arial"/>
                <w:b/>
                <w:bCs/>
                <w:szCs w:val="20"/>
                <w:lang w:val="en-GB"/>
              </w:rPr>
              <w:fldChar w:fldCharType="separate"/>
            </w:r>
            <w:r w:rsidR="00F57FA4">
              <w:rPr>
                <w:rFonts w:cs="Arial"/>
                <w:b/>
                <w:bCs/>
                <w:noProof/>
                <w:szCs w:val="20"/>
                <w:lang w:val="en-GB"/>
              </w:rPr>
              <w:t>16</w:t>
            </w:r>
            <w:r w:rsidRPr="009B5B67">
              <w:rPr>
                <w:rFonts w:cs="Arial"/>
                <w:b/>
                <w:bCs/>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EC4F30" w14:textId="77777777" w:rsidR="00AD3320" w:rsidRPr="009B5B67" w:rsidRDefault="00AD3320" w:rsidP="00AD3320">
            <w:pPr>
              <w:spacing w:after="0"/>
              <w:rPr>
                <w:rFonts w:cs="Arial"/>
                <w:b/>
                <w:bCs/>
                <w:szCs w:val="20"/>
                <w:lang w:val="en-GB"/>
              </w:rPr>
            </w:pPr>
            <w:r w:rsidRPr="009B5B67">
              <w:rPr>
                <w:rFonts w:cs="Arial"/>
                <w:b/>
                <w:bCs/>
                <w:szCs w:val="20"/>
                <w:lang w:val="en-GB"/>
              </w:rPr>
              <w:t>Afforestation</w:t>
            </w:r>
          </w:p>
        </w:tc>
      </w:tr>
      <w:tr w:rsidR="00AD3320" w:rsidRPr="000324FE" w14:paraId="11C1C5C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FCD9342"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3C9741BD" w14:textId="0A6E60F1" w:rsidR="00AD3320" w:rsidRPr="009B5B67" w:rsidRDefault="00AD3320" w:rsidP="00AD3320">
            <w:pPr>
              <w:spacing w:after="0"/>
              <w:rPr>
                <w:rFonts w:cs="Arial"/>
                <w:szCs w:val="20"/>
                <w:lang w:val="en-GB"/>
              </w:rPr>
            </w:pPr>
            <w:r w:rsidRPr="009B5B67">
              <w:rPr>
                <w:rFonts w:cs="Arial"/>
                <w:szCs w:val="20"/>
                <w:lang w:val="en-GB"/>
              </w:rPr>
              <w:t>This measure prescribes the afforestation</w:t>
            </w:r>
            <w:r w:rsidR="004D4E8A">
              <w:rPr>
                <w:rFonts w:cs="Arial"/>
                <w:szCs w:val="20"/>
                <w:lang w:val="en-GB"/>
              </w:rPr>
              <w:t xml:space="preserve"> (secondary forest or plantation forest)</w:t>
            </w:r>
            <w:r w:rsidRPr="009B5B67">
              <w:rPr>
                <w:rFonts w:cs="Arial"/>
                <w:szCs w:val="20"/>
                <w:lang w:val="en-GB"/>
              </w:rPr>
              <w:t xml:space="preserve"> of 5,000 ha every year up to 2030 (and should be continued up to 2050). This requires the additional afforestation of 2,952 ha, compared to the current average level of 2,048 ha.</w:t>
            </w:r>
          </w:p>
        </w:tc>
      </w:tr>
      <w:tr w:rsidR="00AD3320" w:rsidRPr="000324FE" w14:paraId="03FA80F7"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51CC4BA3"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257E93D8" w14:textId="55501DB0" w:rsidR="00AD3320" w:rsidRPr="009B5B67" w:rsidRDefault="00AD3320" w:rsidP="00AD3320">
            <w:pPr>
              <w:spacing w:after="0"/>
              <w:rPr>
                <w:rFonts w:cs="Arial"/>
                <w:szCs w:val="20"/>
                <w:lang w:val="en-GB"/>
              </w:rPr>
            </w:pPr>
            <w:r w:rsidRPr="009B5B67">
              <w:rPr>
                <w:rFonts w:cs="Arial"/>
                <w:szCs w:val="20"/>
                <w:lang w:val="en-GB"/>
              </w:rPr>
              <w:t xml:space="preserve">Increase the carbon sink in the Serbian </w:t>
            </w:r>
            <w:r w:rsidR="00450A85">
              <w:rPr>
                <w:rFonts w:cs="Arial"/>
                <w:szCs w:val="20"/>
                <w:lang w:val="en-GB"/>
              </w:rPr>
              <w:t xml:space="preserve">forest </w:t>
            </w:r>
            <w:r w:rsidRPr="009B5B67">
              <w:rPr>
                <w:rFonts w:cs="Arial"/>
                <w:szCs w:val="20"/>
                <w:lang w:val="en-GB"/>
              </w:rPr>
              <w:t xml:space="preserve">by 17% </w:t>
            </w:r>
          </w:p>
        </w:tc>
      </w:tr>
      <w:tr w:rsidR="00AD3320" w:rsidRPr="009B5B67" w14:paraId="00EA2E07"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C323FC0"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6EC46F2E" w14:textId="77777777" w:rsidR="00AD3320" w:rsidRPr="009B5B67" w:rsidRDefault="00AD3320" w:rsidP="00AD3320">
            <w:pPr>
              <w:spacing w:after="0"/>
              <w:rPr>
                <w:rFonts w:cs="Arial"/>
                <w:szCs w:val="20"/>
                <w:lang w:val="en-GB"/>
              </w:rPr>
            </w:pPr>
            <w:r w:rsidRPr="009B5B67">
              <w:rPr>
                <w:rFonts w:cs="Arial"/>
                <w:szCs w:val="20"/>
                <w:lang w:val="en-GB"/>
              </w:rPr>
              <w:t>Regulatory, Incentive</w:t>
            </w:r>
          </w:p>
        </w:tc>
      </w:tr>
      <w:tr w:rsidR="00AD3320" w:rsidRPr="009B5B67" w14:paraId="1F3A3DC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2F46ED4"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664C7BE7"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0324FE" w14:paraId="57CB18AF"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8619A6C"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736DD681" w14:textId="77777777" w:rsidR="00AD3320" w:rsidRPr="009B5B67" w:rsidRDefault="00AD3320" w:rsidP="00AD3320">
            <w:pPr>
              <w:spacing w:after="0"/>
              <w:rPr>
                <w:rFonts w:cs="Arial"/>
                <w:szCs w:val="20"/>
                <w:lang w:val="en-GB"/>
              </w:rPr>
            </w:pPr>
            <w:r w:rsidRPr="009B5B67">
              <w:rPr>
                <w:rFonts w:cs="Arial"/>
                <w:szCs w:val="20"/>
                <w:lang w:val="en-GB"/>
              </w:rPr>
              <w:t>Land use Land use Change and Forestry (LULUCF)</w:t>
            </w:r>
          </w:p>
        </w:tc>
      </w:tr>
      <w:tr w:rsidR="00AD3320" w:rsidRPr="009B5B67" w14:paraId="0AF535E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57EDB4D"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0EAFD7C4"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2</w:t>
            </w:r>
          </w:p>
        </w:tc>
      </w:tr>
      <w:tr w:rsidR="00AD3320" w:rsidRPr="009B5B67" w14:paraId="51DB866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C226FA7"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50226077" w14:textId="77777777" w:rsidR="00AD3320" w:rsidRPr="009B5B67" w:rsidRDefault="00AD3320" w:rsidP="00AD3320">
            <w:pPr>
              <w:spacing w:after="0"/>
              <w:rPr>
                <w:rFonts w:cs="Arial"/>
                <w:szCs w:val="20"/>
                <w:lang w:val="en-GB"/>
              </w:rPr>
            </w:pPr>
            <w:r w:rsidRPr="009B5B67">
              <w:rPr>
                <w:rFonts w:cs="Arial"/>
                <w:szCs w:val="20"/>
                <w:lang w:val="en-GB"/>
              </w:rPr>
              <w:t>2021</w:t>
            </w:r>
          </w:p>
        </w:tc>
      </w:tr>
      <w:tr w:rsidR="00AD3320" w:rsidRPr="000324FE" w14:paraId="3C7EBF8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DBF0636" w14:textId="77777777" w:rsidR="00AD3320" w:rsidRPr="009B5B67" w:rsidRDefault="00AD3320" w:rsidP="00AD3320">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545E30B0" w14:textId="77777777" w:rsidR="00AD3320" w:rsidRPr="009B5B67" w:rsidRDefault="00AD3320" w:rsidP="00AD3320">
            <w:pPr>
              <w:spacing w:after="0"/>
              <w:rPr>
                <w:rFonts w:cs="Arial"/>
                <w:szCs w:val="20"/>
                <w:lang w:val="en-GB"/>
              </w:rPr>
            </w:pPr>
            <w:r w:rsidRPr="009B5B67">
              <w:rPr>
                <w:rFonts w:cs="Arial"/>
                <w:szCs w:val="20"/>
                <w:lang w:val="en-GB"/>
              </w:rPr>
              <w:t xml:space="preserve">Ministry for Agriculture, Forestry and Water Management, Research institutions, Directorate for Agrarian payments, Organizations responsible for the forest management, </w:t>
            </w:r>
            <w:proofErr w:type="gramStart"/>
            <w:r w:rsidRPr="009B5B67">
              <w:rPr>
                <w:rFonts w:cs="Arial"/>
                <w:szCs w:val="20"/>
                <w:lang w:val="en-GB"/>
              </w:rPr>
              <w:t>Private forest</w:t>
            </w:r>
            <w:proofErr w:type="gramEnd"/>
            <w:r w:rsidRPr="009B5B67">
              <w:rPr>
                <w:rFonts w:cs="Arial"/>
                <w:szCs w:val="20"/>
                <w:lang w:val="en-GB"/>
              </w:rPr>
              <w:t xml:space="preserve"> owners</w:t>
            </w:r>
          </w:p>
        </w:tc>
      </w:tr>
      <w:tr w:rsidR="00AD3320" w:rsidRPr="000324FE" w14:paraId="78C1DF4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585A375"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52DCB969" w14:textId="4CAB2EF1" w:rsidR="00AD3320" w:rsidRPr="009B5B67" w:rsidRDefault="00AD3320" w:rsidP="00AD3320">
            <w:pPr>
              <w:spacing w:after="0"/>
              <w:rPr>
                <w:rFonts w:cs="Arial"/>
                <w:szCs w:val="20"/>
                <w:lang w:val="en-GB"/>
              </w:rPr>
            </w:pPr>
            <w:r w:rsidRPr="009B5B67">
              <w:rPr>
                <w:rFonts w:cs="Arial"/>
                <w:szCs w:val="20"/>
                <w:lang w:val="en-GB"/>
              </w:rPr>
              <w:t>The additional investment costs: 35 Mio EUR</w:t>
            </w:r>
            <w:r w:rsidR="004D4E8A">
              <w:rPr>
                <w:rFonts w:cs="Arial"/>
                <w:szCs w:val="20"/>
                <w:lang w:val="en-GB"/>
              </w:rPr>
              <w:t xml:space="preserve"> (1200 € per </w:t>
            </w:r>
            <w:proofErr w:type="spellStart"/>
            <w:r w:rsidR="004D4E8A">
              <w:rPr>
                <w:rFonts w:cs="Arial"/>
                <w:szCs w:val="20"/>
                <w:lang w:val="en-GB"/>
              </w:rPr>
              <w:t>hectar</w:t>
            </w:r>
            <w:proofErr w:type="spellEnd"/>
            <w:r w:rsidR="004D4E8A">
              <w:rPr>
                <w:rFonts w:cs="Arial"/>
                <w:szCs w:val="20"/>
                <w:lang w:val="en-GB"/>
              </w:rPr>
              <w:t>)</w:t>
            </w:r>
          </w:p>
        </w:tc>
      </w:tr>
      <w:tr w:rsidR="00AD3320" w:rsidRPr="000324FE" w14:paraId="0230DC16"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09FF42C"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5367112D" w14:textId="77777777" w:rsidR="00AD3320" w:rsidRPr="009B5B67" w:rsidRDefault="00AD3320" w:rsidP="00AD3320">
            <w:pPr>
              <w:spacing w:after="0"/>
              <w:rPr>
                <w:rFonts w:cs="Arial"/>
                <w:szCs w:val="20"/>
                <w:lang w:val="en-GB"/>
              </w:rPr>
            </w:pPr>
            <w:r w:rsidRPr="009B5B67">
              <w:rPr>
                <w:rFonts w:cs="Arial"/>
                <w:szCs w:val="20"/>
                <w:lang w:val="en-GB"/>
              </w:rPr>
              <w:t xml:space="preserve">Reduce soil erosion </w:t>
            </w:r>
          </w:p>
          <w:p w14:paraId="340AD958" w14:textId="77777777" w:rsidR="00AD3320" w:rsidRPr="009B5B67" w:rsidRDefault="00AD3320" w:rsidP="00AD3320">
            <w:pPr>
              <w:spacing w:after="0"/>
              <w:rPr>
                <w:rFonts w:cs="Arial"/>
                <w:szCs w:val="20"/>
                <w:lang w:val="en-GB"/>
              </w:rPr>
            </w:pPr>
            <w:r w:rsidRPr="009B5B67">
              <w:rPr>
                <w:rFonts w:cs="Arial"/>
                <w:szCs w:val="20"/>
                <w:lang w:val="en-GB"/>
              </w:rPr>
              <w:t xml:space="preserve">Increase biodiversity, </w:t>
            </w:r>
          </w:p>
          <w:p w14:paraId="1F40D153" w14:textId="77777777" w:rsidR="00AD3320" w:rsidRPr="009B5B67" w:rsidRDefault="00AD3320" w:rsidP="00AD3320">
            <w:pPr>
              <w:spacing w:after="0"/>
              <w:rPr>
                <w:rFonts w:cs="Arial"/>
                <w:szCs w:val="20"/>
                <w:lang w:val="en-GB"/>
              </w:rPr>
            </w:pPr>
            <w:r w:rsidRPr="009B5B67">
              <w:rPr>
                <w:rFonts w:cs="Arial"/>
                <w:szCs w:val="20"/>
                <w:lang w:val="en-GB"/>
              </w:rPr>
              <w:t xml:space="preserve">Conserve rainwater </w:t>
            </w:r>
          </w:p>
          <w:p w14:paraId="679C18FB" w14:textId="77777777" w:rsidR="00AD3320" w:rsidRDefault="00AD3320" w:rsidP="00AD3320">
            <w:pPr>
              <w:spacing w:after="0"/>
              <w:rPr>
                <w:rFonts w:cs="Arial"/>
                <w:szCs w:val="20"/>
                <w:lang w:val="en-GB"/>
              </w:rPr>
            </w:pPr>
            <w:r w:rsidRPr="009B5B67">
              <w:rPr>
                <w:rFonts w:cs="Arial"/>
                <w:szCs w:val="20"/>
                <w:lang w:val="en-GB"/>
              </w:rPr>
              <w:t xml:space="preserve">Increase employment </w:t>
            </w:r>
          </w:p>
          <w:p w14:paraId="58B3F3BA" w14:textId="77777777" w:rsidR="004D4E8A" w:rsidRDefault="004D4E8A" w:rsidP="004D4E8A">
            <w:pPr>
              <w:spacing w:after="0"/>
              <w:rPr>
                <w:lang w:val="en-US"/>
              </w:rPr>
            </w:pPr>
            <w:r>
              <w:rPr>
                <w:lang w:val="en-US"/>
              </w:rPr>
              <w:t>Increase</w:t>
            </w:r>
            <w:r w:rsidRPr="003D44E8">
              <w:rPr>
                <w:lang w:val="en-US"/>
              </w:rPr>
              <w:t xml:space="preserve"> biomass resources for fossil fuel substitution</w:t>
            </w:r>
          </w:p>
          <w:p w14:paraId="14AB1427" w14:textId="648D6830" w:rsidR="004D4E8A" w:rsidRPr="009B5B67" w:rsidRDefault="004D4E8A" w:rsidP="004D4E8A">
            <w:pPr>
              <w:spacing w:after="0"/>
              <w:rPr>
                <w:rFonts w:cs="Arial"/>
                <w:szCs w:val="20"/>
                <w:lang w:val="en-GB"/>
              </w:rPr>
            </w:pPr>
            <w:r w:rsidRPr="003D44E8">
              <w:rPr>
                <w:lang w:val="en-US"/>
              </w:rPr>
              <w:t>Increas</w:t>
            </w:r>
            <w:r>
              <w:rPr>
                <w:lang w:val="en-US"/>
              </w:rPr>
              <w:t>e</w:t>
            </w:r>
            <w:r w:rsidRPr="003D44E8">
              <w:rPr>
                <w:lang w:val="en-US"/>
              </w:rPr>
              <w:t xml:space="preserve"> the amount of natural material (wood f</w:t>
            </w:r>
            <w:r>
              <w:rPr>
                <w:lang w:val="en-US"/>
              </w:rPr>
              <w:t>or construction and insulation)</w:t>
            </w:r>
          </w:p>
        </w:tc>
      </w:tr>
      <w:tr w:rsidR="00AD3320" w:rsidRPr="000324FE" w14:paraId="07D54A7D"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777E926"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44C58DAC" w14:textId="77777777" w:rsidR="00AD3320" w:rsidRDefault="00AD3320" w:rsidP="00AD3320">
            <w:pPr>
              <w:spacing w:after="0"/>
              <w:rPr>
                <w:rFonts w:cs="Arial"/>
                <w:szCs w:val="20"/>
                <w:lang w:val="en-GB"/>
              </w:rPr>
            </w:pPr>
            <w:r w:rsidRPr="009B5B67">
              <w:rPr>
                <w:rFonts w:cs="Arial"/>
                <w:szCs w:val="20"/>
                <w:lang w:val="en-GB"/>
              </w:rPr>
              <w:t>Action is combined with Mitigation action 14.</w:t>
            </w:r>
          </w:p>
          <w:p w14:paraId="442B7910" w14:textId="77777777" w:rsidR="004D4E8A" w:rsidRPr="009B5B67" w:rsidRDefault="004D4E8A" w:rsidP="004D4E8A">
            <w:pPr>
              <w:spacing w:after="0"/>
              <w:rPr>
                <w:rFonts w:cs="Arial"/>
                <w:szCs w:val="20"/>
                <w:lang w:val="en-GB"/>
              </w:rPr>
            </w:pPr>
            <w:r w:rsidRPr="009B5B67">
              <w:rPr>
                <w:rFonts w:cs="Arial"/>
                <w:szCs w:val="20"/>
                <w:lang w:val="en-GB"/>
              </w:rPr>
              <w:t xml:space="preserve">Reduce soil erosion </w:t>
            </w:r>
          </w:p>
          <w:p w14:paraId="0D58EBBD" w14:textId="77777777" w:rsidR="004D4E8A" w:rsidRDefault="004D4E8A" w:rsidP="004D4E8A">
            <w:pPr>
              <w:spacing w:after="0"/>
              <w:rPr>
                <w:lang w:val="en-US"/>
              </w:rPr>
            </w:pPr>
            <w:r>
              <w:rPr>
                <w:lang w:val="en-US"/>
              </w:rPr>
              <w:t>Increase</w:t>
            </w:r>
            <w:r w:rsidRPr="003D44E8">
              <w:rPr>
                <w:lang w:val="en-US"/>
              </w:rPr>
              <w:t xml:space="preserve"> biomass resources for fossil fuel substitution</w:t>
            </w:r>
          </w:p>
          <w:p w14:paraId="3E381047" w14:textId="27586CA1" w:rsidR="004D4E8A" w:rsidRPr="009B5B67" w:rsidRDefault="004D4E8A" w:rsidP="004D4E8A">
            <w:pPr>
              <w:spacing w:after="0"/>
              <w:rPr>
                <w:rFonts w:cs="Arial"/>
                <w:szCs w:val="20"/>
                <w:lang w:val="en-GB"/>
              </w:rPr>
            </w:pPr>
            <w:r w:rsidRPr="003D44E8">
              <w:rPr>
                <w:lang w:val="en-US"/>
              </w:rPr>
              <w:t>Increas</w:t>
            </w:r>
            <w:r>
              <w:rPr>
                <w:lang w:val="en-US"/>
              </w:rPr>
              <w:t>e</w:t>
            </w:r>
            <w:r w:rsidRPr="003D44E8">
              <w:rPr>
                <w:lang w:val="en-US"/>
              </w:rPr>
              <w:t xml:space="preserve"> the amount of natural material (wood f</w:t>
            </w:r>
            <w:r>
              <w:rPr>
                <w:lang w:val="en-US"/>
              </w:rPr>
              <w:t>or construction and insulation)</w:t>
            </w:r>
          </w:p>
        </w:tc>
      </w:tr>
      <w:tr w:rsidR="00AD3320" w:rsidRPr="009B5B67" w14:paraId="2BFF2740"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C9756F5"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74EFBBA9" w14:textId="77777777" w:rsidR="00AD3320" w:rsidRPr="009B5B67" w:rsidRDefault="00AD3320" w:rsidP="00AD3320">
            <w:pPr>
              <w:spacing w:after="0"/>
              <w:rPr>
                <w:rFonts w:cs="Arial"/>
                <w:szCs w:val="20"/>
                <w:lang w:val="en-GB"/>
              </w:rPr>
            </w:pPr>
            <w:r w:rsidRPr="009B5B67">
              <w:rPr>
                <w:rFonts w:cs="Arial"/>
                <w:szCs w:val="20"/>
                <w:lang w:val="en-GB"/>
              </w:rPr>
              <w:t>259.1 kt CO</w:t>
            </w:r>
            <w:r w:rsidRPr="009B5B67">
              <w:rPr>
                <w:rFonts w:cs="Arial"/>
                <w:szCs w:val="20"/>
                <w:vertAlign w:val="subscript"/>
                <w:lang w:val="en-GB"/>
              </w:rPr>
              <w:t>2</w:t>
            </w:r>
          </w:p>
        </w:tc>
      </w:tr>
      <w:tr w:rsidR="00AD3320" w:rsidRPr="009B5B67" w14:paraId="570A8A82"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691889B"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483291A7"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7E290706"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A708B12" w14:textId="77777777" w:rsidR="00AD3320" w:rsidRPr="009B5B67" w:rsidRDefault="00AD3320" w:rsidP="00AD3320">
            <w:pPr>
              <w:spacing w:after="0"/>
              <w:rPr>
                <w:rFonts w:cs="Arial"/>
                <w:szCs w:val="20"/>
                <w:lang w:val="en-GB"/>
              </w:rPr>
            </w:pPr>
            <w:r w:rsidRPr="009B5B67">
              <w:rPr>
                <w:rFonts w:cs="Arial"/>
                <w:szCs w:val="20"/>
                <w:lang w:val="en-GB"/>
              </w:rPr>
              <w:lastRenderedPageBreak/>
              <w:t>Other year</w:t>
            </w:r>
          </w:p>
        </w:tc>
        <w:tc>
          <w:tcPr>
            <w:tcW w:w="9498" w:type="dxa"/>
            <w:tcBorders>
              <w:top w:val="single" w:sz="4" w:space="0" w:color="auto"/>
              <w:left w:val="single" w:sz="4" w:space="0" w:color="auto"/>
              <w:bottom w:val="single" w:sz="4" w:space="0" w:color="auto"/>
              <w:right w:val="single" w:sz="4" w:space="0" w:color="auto"/>
            </w:tcBorders>
            <w:hideMark/>
          </w:tcPr>
          <w:p w14:paraId="5A941651"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06FF7D13" w14:textId="77777777" w:rsidR="00AD3320" w:rsidRPr="009B5B67" w:rsidRDefault="00AD3320"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B23799" w:rsidRPr="000324FE" w14:paraId="67FB5815" w14:textId="77777777" w:rsidTr="00B23799">
        <w:trPr>
          <w:trHeight w:val="408"/>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4196EC7" w14:textId="0C0BE4D0" w:rsidR="00B23799" w:rsidRPr="009B5B67" w:rsidRDefault="00B23799" w:rsidP="00B23799">
            <w:pPr>
              <w:spacing w:after="0"/>
              <w:rPr>
                <w:rFonts w:cs="Arial"/>
                <w:b/>
                <w:bCs/>
                <w:szCs w:val="20"/>
                <w:lang w:val="en-GB"/>
              </w:rPr>
            </w:pPr>
            <w:r w:rsidRPr="009B5B67">
              <w:rPr>
                <w:rFonts w:cs="Arial"/>
                <w:b/>
                <w:bCs/>
                <w:szCs w:val="20"/>
                <w:lang w:val="en-GB"/>
              </w:rPr>
              <w:t xml:space="preserve">Mitigation action </w:t>
            </w:r>
            <w:r w:rsidRPr="009B5B67">
              <w:rPr>
                <w:rFonts w:cs="Arial"/>
                <w:b/>
                <w:bCs/>
                <w:szCs w:val="20"/>
                <w:lang w:val="en-GB"/>
              </w:rPr>
              <w:fldChar w:fldCharType="begin"/>
            </w:r>
            <w:r w:rsidRPr="009B5B67">
              <w:rPr>
                <w:rFonts w:cs="Arial"/>
                <w:b/>
                <w:bCs/>
                <w:szCs w:val="20"/>
                <w:lang w:val="en-GB"/>
              </w:rPr>
              <w:instrText xml:space="preserve"> SEQ Mitigation_action \* ARABIC </w:instrText>
            </w:r>
            <w:r w:rsidRPr="009B5B67">
              <w:rPr>
                <w:rFonts w:cs="Arial"/>
                <w:b/>
                <w:bCs/>
                <w:szCs w:val="20"/>
                <w:lang w:val="en-GB"/>
              </w:rPr>
              <w:fldChar w:fldCharType="separate"/>
            </w:r>
            <w:r w:rsidR="00F57FA4">
              <w:rPr>
                <w:rFonts w:cs="Arial"/>
                <w:b/>
                <w:bCs/>
                <w:noProof/>
                <w:szCs w:val="20"/>
                <w:lang w:val="en-GB"/>
              </w:rPr>
              <w:t>17</w:t>
            </w:r>
            <w:r w:rsidRPr="009B5B67">
              <w:rPr>
                <w:rFonts w:cs="Arial"/>
                <w:b/>
                <w:bCs/>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EBB716E" w14:textId="0F3072F8" w:rsidR="00B23799" w:rsidRPr="009B5B67" w:rsidRDefault="00B23799" w:rsidP="00B23799">
            <w:pPr>
              <w:spacing w:after="0"/>
              <w:rPr>
                <w:rFonts w:cs="Arial"/>
                <w:b/>
                <w:bCs/>
                <w:szCs w:val="20"/>
                <w:lang w:val="en-GB"/>
              </w:rPr>
            </w:pPr>
            <w:r>
              <w:rPr>
                <w:rFonts w:cs="Arial"/>
                <w:b/>
                <w:bCs/>
                <w:szCs w:val="20"/>
                <w:lang w:val="en-GB"/>
              </w:rPr>
              <w:t>Close to nature forest management</w:t>
            </w:r>
          </w:p>
        </w:tc>
      </w:tr>
      <w:tr w:rsidR="00B23799" w:rsidRPr="000324FE" w14:paraId="769C849B"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306F16A4" w14:textId="77777777" w:rsidR="00B23799" w:rsidRPr="009B5B67" w:rsidRDefault="00B23799" w:rsidP="00B23799">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tcPr>
          <w:p w14:paraId="0955E027" w14:textId="77777777" w:rsidR="00B23799" w:rsidRDefault="00034223" w:rsidP="00034223">
            <w:pPr>
              <w:spacing w:after="0"/>
              <w:rPr>
                <w:lang w:val="en-US"/>
              </w:rPr>
            </w:pPr>
            <w:r w:rsidRPr="003D44E8">
              <w:rPr>
                <w:lang w:val="en-US"/>
              </w:rPr>
              <w:t xml:space="preserve">Introduction of close-to-nature forest management could lead to an increase in soil organic carbon and biomass (aboveground + below-ground) through different measures, such as </w:t>
            </w:r>
            <w:proofErr w:type="spellStart"/>
            <w:r w:rsidRPr="003D44E8">
              <w:rPr>
                <w:lang w:val="en-US"/>
              </w:rPr>
              <w:t>as</w:t>
            </w:r>
            <w:proofErr w:type="spellEnd"/>
            <w:r w:rsidRPr="003D44E8">
              <w:rPr>
                <w:lang w:val="en-US"/>
              </w:rPr>
              <w:t xml:space="preserve"> species selection, rotation length and management regime (incl. sustainable harvesting levels, planned thinning and low-impact logging); conversion of suitable coppice forests; harvesting of over-mature beech stands; increased mixture of tree species suitable for Climate Change - increased </w:t>
            </w:r>
            <w:proofErr w:type="gramStart"/>
            <w:r w:rsidRPr="003D44E8">
              <w:rPr>
                <w:lang w:val="en-US"/>
              </w:rPr>
              <w:t>productivity;</w:t>
            </w:r>
            <w:proofErr w:type="gramEnd"/>
          </w:p>
          <w:p w14:paraId="30C45278" w14:textId="60E2413A" w:rsidR="00034223" w:rsidRPr="00034223" w:rsidRDefault="00034223" w:rsidP="00034223">
            <w:pPr>
              <w:spacing w:after="0"/>
              <w:rPr>
                <w:lang w:val="en-US"/>
              </w:rPr>
            </w:pPr>
            <w:r>
              <w:rPr>
                <w:lang w:val="en-US"/>
              </w:rPr>
              <w:t>The actions comprise the p</w:t>
            </w:r>
            <w:r w:rsidRPr="00034223">
              <w:rPr>
                <w:lang w:val="en-US"/>
              </w:rPr>
              <w:t>reparation of all management guidelines for all management types</w:t>
            </w:r>
            <w:r>
              <w:rPr>
                <w:lang w:val="en-US"/>
              </w:rPr>
              <w:t xml:space="preserve">, </w:t>
            </w:r>
            <w:r w:rsidRPr="00034223">
              <w:rPr>
                <w:lang w:val="en-US"/>
              </w:rPr>
              <w:t>the establishment of demonstration and experimental plots in all management types</w:t>
            </w:r>
            <w:r>
              <w:rPr>
                <w:lang w:val="en-US"/>
              </w:rPr>
              <w:t xml:space="preserve"> and s</w:t>
            </w:r>
            <w:r w:rsidRPr="00034223">
              <w:rPr>
                <w:lang w:val="en-US"/>
              </w:rPr>
              <w:t>ystematic training activities to smooth implementation of the close to nature and smart forest management</w:t>
            </w:r>
          </w:p>
        </w:tc>
      </w:tr>
      <w:tr w:rsidR="00450A85" w:rsidRPr="000324FE" w14:paraId="038FE842"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6D98254B" w14:textId="77777777" w:rsidR="00450A85" w:rsidRPr="009B5B67" w:rsidRDefault="00450A85" w:rsidP="00450A85">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tcPr>
          <w:p w14:paraId="00DB992C" w14:textId="51939575" w:rsidR="00450A85" w:rsidRPr="009B5B67" w:rsidRDefault="00450A85" w:rsidP="00450A85">
            <w:pPr>
              <w:spacing w:after="0"/>
              <w:rPr>
                <w:rFonts w:cs="Arial"/>
                <w:szCs w:val="20"/>
                <w:lang w:val="en-GB"/>
              </w:rPr>
            </w:pPr>
            <w:r w:rsidRPr="009B5B67">
              <w:rPr>
                <w:rFonts w:cs="Arial"/>
                <w:szCs w:val="20"/>
                <w:lang w:val="en-GB"/>
              </w:rPr>
              <w:t xml:space="preserve">Increase the carbon sink in the Serbian </w:t>
            </w:r>
            <w:r>
              <w:rPr>
                <w:rFonts w:cs="Arial"/>
                <w:szCs w:val="20"/>
                <w:lang w:val="en-GB"/>
              </w:rPr>
              <w:t xml:space="preserve">forest </w:t>
            </w:r>
            <w:r w:rsidRPr="009B5B67">
              <w:rPr>
                <w:rFonts w:cs="Arial"/>
                <w:szCs w:val="20"/>
                <w:lang w:val="en-GB"/>
              </w:rPr>
              <w:t xml:space="preserve">by 17% </w:t>
            </w:r>
          </w:p>
        </w:tc>
      </w:tr>
      <w:tr w:rsidR="00450A85" w:rsidRPr="009B5B67" w14:paraId="3154712C"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42CDD317" w14:textId="77777777" w:rsidR="00450A85" w:rsidRPr="009B5B67" w:rsidRDefault="00450A85" w:rsidP="00450A85">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tcPr>
          <w:p w14:paraId="6D27F7A5" w14:textId="21169128" w:rsidR="00450A85" w:rsidRPr="009B5B67" w:rsidRDefault="00450A85" w:rsidP="00450A85">
            <w:pPr>
              <w:spacing w:after="0"/>
              <w:rPr>
                <w:rFonts w:cs="Arial"/>
                <w:szCs w:val="20"/>
                <w:lang w:val="en-GB"/>
              </w:rPr>
            </w:pPr>
            <w:r w:rsidRPr="009B5B67">
              <w:rPr>
                <w:rFonts w:cs="Arial"/>
                <w:szCs w:val="20"/>
                <w:lang w:val="en-GB"/>
              </w:rPr>
              <w:t>Informational-Educational</w:t>
            </w:r>
          </w:p>
        </w:tc>
      </w:tr>
      <w:tr w:rsidR="00450A85" w:rsidRPr="009B5B67" w14:paraId="3F97A65C"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0F86851F" w14:textId="77777777" w:rsidR="00450A85" w:rsidRPr="009B5B67" w:rsidRDefault="00450A85" w:rsidP="00450A85">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tcPr>
          <w:p w14:paraId="36ADAB76" w14:textId="68CCCE54" w:rsidR="00450A85" w:rsidRPr="009B5B67" w:rsidRDefault="00450A85" w:rsidP="00450A85">
            <w:pPr>
              <w:spacing w:after="0"/>
              <w:rPr>
                <w:rFonts w:cs="Arial"/>
                <w:szCs w:val="20"/>
                <w:lang w:val="en-GB"/>
              </w:rPr>
            </w:pPr>
            <w:r w:rsidRPr="009B5B67">
              <w:rPr>
                <w:rFonts w:cs="Arial"/>
                <w:szCs w:val="20"/>
                <w:lang w:val="en-GB"/>
              </w:rPr>
              <w:t>Planned</w:t>
            </w:r>
          </w:p>
        </w:tc>
      </w:tr>
      <w:tr w:rsidR="00450A85" w:rsidRPr="000324FE" w14:paraId="09FA467D"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37D5DEC1" w14:textId="77777777" w:rsidR="00450A85" w:rsidRPr="009B5B67" w:rsidRDefault="00450A85" w:rsidP="00450A85">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tcPr>
          <w:p w14:paraId="22CF68F5" w14:textId="1414659A" w:rsidR="00450A85" w:rsidRPr="009B5B67" w:rsidRDefault="00450A85" w:rsidP="00450A85">
            <w:pPr>
              <w:spacing w:after="0"/>
              <w:rPr>
                <w:rFonts w:cs="Arial"/>
                <w:szCs w:val="20"/>
                <w:lang w:val="en-GB"/>
              </w:rPr>
            </w:pPr>
            <w:r w:rsidRPr="009B5B67">
              <w:rPr>
                <w:rFonts w:cs="Arial"/>
                <w:szCs w:val="20"/>
                <w:lang w:val="en-GB"/>
              </w:rPr>
              <w:t>Land use Land use Change and Forestry (LULUCF)</w:t>
            </w:r>
          </w:p>
        </w:tc>
      </w:tr>
      <w:tr w:rsidR="00450A85" w:rsidRPr="009B5B67" w14:paraId="4F78F624"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616EE7D3" w14:textId="77777777" w:rsidR="00450A85" w:rsidRPr="009B5B67" w:rsidRDefault="00450A85" w:rsidP="00450A85">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tcPr>
          <w:p w14:paraId="76C06F41" w14:textId="6D8A8CCD" w:rsidR="00450A85" w:rsidRPr="009B5B67" w:rsidRDefault="00450A85" w:rsidP="00450A85">
            <w:pPr>
              <w:spacing w:after="0"/>
              <w:rPr>
                <w:rFonts w:cs="Arial"/>
                <w:szCs w:val="20"/>
                <w:lang w:val="en-GB"/>
              </w:rPr>
            </w:pPr>
            <w:r w:rsidRPr="009B5B67">
              <w:rPr>
                <w:rFonts w:cs="Arial"/>
                <w:szCs w:val="20"/>
                <w:lang w:val="en-GB"/>
              </w:rPr>
              <w:t>CO</w:t>
            </w:r>
            <w:r w:rsidRPr="009B5B67">
              <w:rPr>
                <w:rFonts w:cs="Arial"/>
                <w:szCs w:val="20"/>
                <w:vertAlign w:val="subscript"/>
                <w:lang w:val="en-GB"/>
              </w:rPr>
              <w:t>2</w:t>
            </w:r>
          </w:p>
        </w:tc>
      </w:tr>
      <w:tr w:rsidR="00450A85" w:rsidRPr="009B5B67" w14:paraId="7917B989"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6E87A1B6" w14:textId="77777777" w:rsidR="00450A85" w:rsidRPr="009B5B67" w:rsidRDefault="00450A85" w:rsidP="00450A85">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tcPr>
          <w:p w14:paraId="6453ACC4" w14:textId="774875BA" w:rsidR="00450A85" w:rsidRPr="009B5B67" w:rsidRDefault="00450A85" w:rsidP="00450A85">
            <w:pPr>
              <w:spacing w:after="0"/>
              <w:rPr>
                <w:rFonts w:cs="Arial"/>
                <w:szCs w:val="20"/>
                <w:lang w:val="en-GB"/>
              </w:rPr>
            </w:pPr>
            <w:r w:rsidRPr="009B5B67">
              <w:rPr>
                <w:rFonts w:cs="Arial"/>
                <w:szCs w:val="20"/>
                <w:lang w:val="en-GB"/>
              </w:rPr>
              <w:t>2021</w:t>
            </w:r>
          </w:p>
        </w:tc>
      </w:tr>
      <w:tr w:rsidR="00450A85" w:rsidRPr="000324FE" w14:paraId="3B0DE8B9"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1E35B0E9" w14:textId="77777777" w:rsidR="00450A85" w:rsidRPr="009B5B67" w:rsidRDefault="00450A85" w:rsidP="00450A85">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tcPr>
          <w:p w14:paraId="0CD0A31B" w14:textId="0A83EB53" w:rsidR="00450A85" w:rsidRPr="009B5B67" w:rsidRDefault="00450A85" w:rsidP="00450A85">
            <w:pPr>
              <w:spacing w:after="0"/>
              <w:rPr>
                <w:rFonts w:cs="Arial"/>
                <w:szCs w:val="20"/>
                <w:lang w:val="en-GB"/>
              </w:rPr>
            </w:pPr>
            <w:r>
              <w:rPr>
                <w:rFonts w:cs="Arial"/>
                <w:szCs w:val="20"/>
                <w:lang w:val="en-GB"/>
              </w:rPr>
              <w:t>Ministry responsible for forestry, chamber of forest engineers</w:t>
            </w:r>
          </w:p>
        </w:tc>
      </w:tr>
      <w:tr w:rsidR="00450A85" w:rsidRPr="000324FE" w14:paraId="7B125E52"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1FA5D79A" w14:textId="77777777" w:rsidR="00450A85" w:rsidRPr="009B5B67" w:rsidRDefault="00450A85" w:rsidP="00450A85">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tcPr>
          <w:p w14:paraId="384CF2FB" w14:textId="4FB280FD" w:rsidR="00450A85" w:rsidRPr="009B5B67" w:rsidRDefault="00450A85" w:rsidP="00450A85">
            <w:pPr>
              <w:spacing w:after="0"/>
              <w:rPr>
                <w:rFonts w:cs="Arial"/>
                <w:szCs w:val="20"/>
                <w:lang w:val="en-GB"/>
              </w:rPr>
            </w:pPr>
            <w:r w:rsidRPr="003D44E8">
              <w:rPr>
                <w:lang w:val="en-US"/>
              </w:rPr>
              <w:t>Based on the LCDS document the estimated cost is 1,300,000 Euro</w:t>
            </w:r>
          </w:p>
        </w:tc>
      </w:tr>
      <w:tr w:rsidR="00450A85" w:rsidRPr="000324FE" w14:paraId="1CEB6756"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0AB97983" w14:textId="77777777" w:rsidR="00450A85" w:rsidRPr="009B5B67" w:rsidRDefault="00450A85" w:rsidP="00450A85">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tcPr>
          <w:p w14:paraId="03BA614E" w14:textId="77777777" w:rsidR="00450A85" w:rsidRDefault="00450A85" w:rsidP="00450A85">
            <w:pPr>
              <w:spacing w:after="0"/>
              <w:rPr>
                <w:lang w:val="en-US"/>
              </w:rPr>
            </w:pPr>
            <w:r w:rsidRPr="003D44E8">
              <w:rPr>
                <w:lang w:val="en-US"/>
              </w:rPr>
              <w:t>Positive effects on soil eros</w:t>
            </w:r>
            <w:r>
              <w:rPr>
                <w:lang w:val="en-US"/>
              </w:rPr>
              <w:t>ion control and infrastructure</w:t>
            </w:r>
          </w:p>
          <w:p w14:paraId="6D2100F0" w14:textId="33D1F931" w:rsidR="00450A85" w:rsidRDefault="00450A85" w:rsidP="00450A85">
            <w:pPr>
              <w:spacing w:after="0"/>
              <w:rPr>
                <w:lang w:val="en-US"/>
              </w:rPr>
            </w:pPr>
            <w:r>
              <w:rPr>
                <w:lang w:val="en-US"/>
              </w:rPr>
              <w:t>Enhanced air quality</w:t>
            </w:r>
            <w:r w:rsidRPr="003D44E8">
              <w:rPr>
                <w:lang w:val="en-US"/>
              </w:rPr>
              <w:t xml:space="preserve"> </w:t>
            </w:r>
          </w:p>
          <w:p w14:paraId="6AA68659" w14:textId="6B216EEB" w:rsidR="00450A85" w:rsidRDefault="00450A85" w:rsidP="00450A85">
            <w:pPr>
              <w:spacing w:after="0"/>
              <w:rPr>
                <w:lang w:val="en-US"/>
              </w:rPr>
            </w:pPr>
            <w:r>
              <w:rPr>
                <w:lang w:val="en-US"/>
              </w:rPr>
              <w:t>P</w:t>
            </w:r>
            <w:r w:rsidRPr="003D44E8">
              <w:rPr>
                <w:lang w:val="en-US"/>
              </w:rPr>
              <w:t>ositive effects on water balance</w:t>
            </w:r>
            <w:r>
              <w:rPr>
                <w:lang w:val="en-US"/>
              </w:rPr>
              <w:t xml:space="preserve"> and quality by tree admixture</w:t>
            </w:r>
          </w:p>
          <w:p w14:paraId="300E3148" w14:textId="2812C357" w:rsidR="00450A85" w:rsidRDefault="00450A85" w:rsidP="00450A85">
            <w:pPr>
              <w:spacing w:after="0"/>
              <w:rPr>
                <w:lang w:val="en-US"/>
              </w:rPr>
            </w:pPr>
            <w:r>
              <w:rPr>
                <w:lang w:val="en-US"/>
              </w:rPr>
              <w:t>Increased biodiversity</w:t>
            </w:r>
          </w:p>
          <w:p w14:paraId="210D7919" w14:textId="3C5403F9" w:rsidR="00450A85" w:rsidRPr="00034223" w:rsidRDefault="00450A85" w:rsidP="00450A85">
            <w:pPr>
              <w:spacing w:after="0"/>
              <w:rPr>
                <w:rFonts w:cs="Arial"/>
                <w:szCs w:val="20"/>
                <w:lang w:val="en-US"/>
              </w:rPr>
            </w:pPr>
            <w:r>
              <w:rPr>
                <w:lang w:val="en-US"/>
              </w:rPr>
              <w:t>P</w:t>
            </w:r>
            <w:r w:rsidRPr="003D44E8">
              <w:rPr>
                <w:lang w:val="en-US"/>
              </w:rPr>
              <w:t xml:space="preserve">ositive effects on the protection of the soil organic layer </w:t>
            </w:r>
          </w:p>
        </w:tc>
      </w:tr>
      <w:tr w:rsidR="00450A85" w:rsidRPr="000324FE" w14:paraId="54A608C9"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0DE80B03" w14:textId="77777777" w:rsidR="00450A85" w:rsidRPr="009B5B67" w:rsidRDefault="00450A85" w:rsidP="00450A85">
            <w:pPr>
              <w:spacing w:after="0"/>
              <w:rPr>
                <w:rFonts w:cs="Arial"/>
                <w:szCs w:val="20"/>
                <w:lang w:val="en-GB"/>
              </w:rPr>
            </w:pPr>
            <w:r w:rsidRPr="009B5B67">
              <w:rPr>
                <w:rFonts w:cs="Arial"/>
                <w:szCs w:val="20"/>
                <w:lang w:val="en-GB"/>
              </w:rPr>
              <w:lastRenderedPageBreak/>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tcPr>
          <w:p w14:paraId="65C3F53F" w14:textId="77777777" w:rsidR="00450A85" w:rsidRPr="003D44E8" w:rsidRDefault="00450A85" w:rsidP="00450A85">
            <w:pPr>
              <w:spacing w:after="0"/>
              <w:rPr>
                <w:lang w:val="en-US"/>
              </w:rPr>
            </w:pPr>
            <w:r w:rsidRPr="003D44E8">
              <w:rPr>
                <w:lang w:val="en-US"/>
              </w:rPr>
              <w:t>Increasing of biomass resources for fossil fuel substitute; Increasing of the amount of natural material (wood for construction and insulation); reduction of disaster risk by creating vital and resilient forest ecosystems; increasing of biodiversity by increasing tree species admixture; increasing of stabile and vital green infrastructure around cities; water balance stability</w:t>
            </w:r>
          </w:p>
          <w:p w14:paraId="19FB317B" w14:textId="2D7B5E4A" w:rsidR="00450A85" w:rsidRPr="00034223" w:rsidRDefault="00450A85" w:rsidP="00450A85">
            <w:pPr>
              <w:spacing w:after="0"/>
              <w:rPr>
                <w:rFonts w:cs="Arial"/>
                <w:szCs w:val="20"/>
                <w:lang w:val="en-US"/>
              </w:rPr>
            </w:pPr>
          </w:p>
        </w:tc>
      </w:tr>
      <w:tr w:rsidR="00450A85" w:rsidRPr="00034223" w14:paraId="130114C0" w14:textId="77777777" w:rsidTr="00034223">
        <w:tc>
          <w:tcPr>
            <w:tcW w:w="4531" w:type="dxa"/>
            <w:tcBorders>
              <w:top w:val="single" w:sz="4" w:space="0" w:color="auto"/>
              <w:left w:val="single" w:sz="4" w:space="0" w:color="auto"/>
              <w:bottom w:val="single" w:sz="4" w:space="0" w:color="auto"/>
              <w:right w:val="single" w:sz="4" w:space="0" w:color="auto"/>
            </w:tcBorders>
            <w:hideMark/>
          </w:tcPr>
          <w:p w14:paraId="00ABDD57" w14:textId="77777777" w:rsidR="00450A85" w:rsidRPr="009B5B67" w:rsidRDefault="00450A85" w:rsidP="00450A85">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tcPr>
          <w:p w14:paraId="5C570FAC" w14:textId="00725B6F" w:rsidR="00450A85" w:rsidRPr="009B5B67" w:rsidRDefault="00450A85" w:rsidP="00450A85">
            <w:pPr>
              <w:spacing w:after="0"/>
              <w:rPr>
                <w:rFonts w:cs="Arial"/>
                <w:szCs w:val="20"/>
                <w:lang w:val="en-GB"/>
              </w:rPr>
            </w:pPr>
            <w:r w:rsidRPr="00034223">
              <w:rPr>
                <w:rFonts w:cs="Arial"/>
                <w:szCs w:val="20"/>
                <w:lang w:val="en-GB"/>
              </w:rPr>
              <w:t>1008,33 kt Co2 eq</w:t>
            </w:r>
            <w:r>
              <w:rPr>
                <w:rFonts w:cs="Arial"/>
                <w:szCs w:val="20"/>
                <w:lang w:val="en-GB"/>
              </w:rPr>
              <w:t>.</w:t>
            </w:r>
            <w:r w:rsidRPr="00034223">
              <w:rPr>
                <w:rFonts w:cs="Arial"/>
                <w:szCs w:val="20"/>
                <w:lang w:val="en-GB"/>
              </w:rPr>
              <w:t xml:space="preserve"> until 2030</w:t>
            </w:r>
          </w:p>
        </w:tc>
      </w:tr>
      <w:tr w:rsidR="00450A85" w:rsidRPr="00034223" w14:paraId="0473B159" w14:textId="77777777" w:rsidTr="00B23799">
        <w:tc>
          <w:tcPr>
            <w:tcW w:w="4531" w:type="dxa"/>
            <w:tcBorders>
              <w:top w:val="single" w:sz="4" w:space="0" w:color="auto"/>
              <w:left w:val="single" w:sz="4" w:space="0" w:color="auto"/>
              <w:bottom w:val="single" w:sz="4" w:space="0" w:color="auto"/>
              <w:right w:val="single" w:sz="4" w:space="0" w:color="auto"/>
            </w:tcBorders>
            <w:hideMark/>
          </w:tcPr>
          <w:p w14:paraId="2B85D1D5" w14:textId="77777777" w:rsidR="00450A85" w:rsidRPr="009B5B67" w:rsidRDefault="00450A85" w:rsidP="00450A85">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47CFA82D" w14:textId="77777777" w:rsidR="00450A85" w:rsidRPr="009B5B67" w:rsidRDefault="00450A85" w:rsidP="00450A85">
            <w:pPr>
              <w:spacing w:after="0"/>
              <w:rPr>
                <w:rFonts w:cs="Arial"/>
                <w:szCs w:val="20"/>
                <w:lang w:val="en-GB"/>
              </w:rPr>
            </w:pPr>
            <w:r w:rsidRPr="009B5B67">
              <w:rPr>
                <w:rFonts w:cs="Arial"/>
                <w:szCs w:val="20"/>
                <w:lang w:val="en-GB"/>
              </w:rPr>
              <w:t>2030</w:t>
            </w:r>
          </w:p>
        </w:tc>
      </w:tr>
      <w:tr w:rsidR="00450A85" w:rsidRPr="00034223" w14:paraId="7C689AF8" w14:textId="77777777" w:rsidTr="00B23799">
        <w:tc>
          <w:tcPr>
            <w:tcW w:w="4531" w:type="dxa"/>
            <w:tcBorders>
              <w:top w:val="single" w:sz="4" w:space="0" w:color="auto"/>
              <w:left w:val="single" w:sz="4" w:space="0" w:color="auto"/>
              <w:bottom w:val="single" w:sz="4" w:space="0" w:color="auto"/>
              <w:right w:val="single" w:sz="4" w:space="0" w:color="auto"/>
            </w:tcBorders>
            <w:hideMark/>
          </w:tcPr>
          <w:p w14:paraId="6567657E" w14:textId="77777777" w:rsidR="00450A85" w:rsidRPr="009B5B67" w:rsidRDefault="00450A85" w:rsidP="00450A85">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4AAD7B86" w14:textId="77777777" w:rsidR="00450A85" w:rsidRPr="009B5B67" w:rsidRDefault="00450A85" w:rsidP="00450A85">
            <w:pPr>
              <w:spacing w:after="0"/>
              <w:rPr>
                <w:rFonts w:cs="Arial"/>
                <w:szCs w:val="20"/>
                <w:lang w:val="en-GB"/>
              </w:rPr>
            </w:pPr>
            <w:r w:rsidRPr="009B5B67">
              <w:rPr>
                <w:rFonts w:cs="Arial"/>
                <w:szCs w:val="20"/>
                <w:lang w:val="en-GB"/>
              </w:rPr>
              <w:t>-</w:t>
            </w:r>
          </w:p>
        </w:tc>
      </w:tr>
    </w:tbl>
    <w:p w14:paraId="126DFA2D" w14:textId="6B5FB820" w:rsidR="00AD3320" w:rsidRDefault="00AD3320" w:rsidP="00AD3320">
      <w:pPr>
        <w:spacing w:after="0"/>
        <w:rPr>
          <w:rFonts w:cs="Arial"/>
          <w:szCs w:val="20"/>
          <w:lang w:val="en-GB"/>
        </w:rPr>
      </w:pPr>
    </w:p>
    <w:p w14:paraId="52279BBC" w14:textId="1E3D029B" w:rsidR="00B23799" w:rsidRDefault="00B23799" w:rsidP="00AD3320">
      <w:pPr>
        <w:spacing w:after="0"/>
        <w:rPr>
          <w:rFonts w:cs="Arial"/>
          <w:szCs w:val="20"/>
          <w:lang w:val="en-GB"/>
        </w:rPr>
      </w:pPr>
    </w:p>
    <w:p w14:paraId="2599B772" w14:textId="77777777" w:rsidR="00B23799" w:rsidRPr="009B5B67" w:rsidRDefault="00B23799"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AD3320" w:rsidRPr="000324FE" w14:paraId="380DDB79" w14:textId="77777777" w:rsidTr="00AD3320">
        <w:trPr>
          <w:trHeight w:val="408"/>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02353A3" w14:textId="46CEE402" w:rsidR="00AD3320" w:rsidRPr="009B5B67" w:rsidRDefault="00AD3320" w:rsidP="00AD3320">
            <w:pPr>
              <w:spacing w:after="0"/>
              <w:rPr>
                <w:rFonts w:cs="Arial"/>
                <w:b/>
                <w:bCs/>
                <w:szCs w:val="20"/>
                <w:lang w:val="en-GB"/>
              </w:rPr>
            </w:pPr>
            <w:r w:rsidRPr="009B5B67">
              <w:rPr>
                <w:rFonts w:cs="Arial"/>
                <w:b/>
                <w:bCs/>
                <w:szCs w:val="20"/>
                <w:lang w:val="en-GB"/>
              </w:rPr>
              <w:t xml:space="preserve">Mitigation action </w:t>
            </w:r>
            <w:r w:rsidRPr="009B5B67">
              <w:rPr>
                <w:rFonts w:cs="Arial"/>
                <w:b/>
                <w:bCs/>
                <w:szCs w:val="20"/>
                <w:lang w:val="en-GB"/>
              </w:rPr>
              <w:fldChar w:fldCharType="begin"/>
            </w:r>
            <w:r w:rsidRPr="009B5B67">
              <w:rPr>
                <w:rFonts w:cs="Arial"/>
                <w:b/>
                <w:bCs/>
                <w:szCs w:val="20"/>
                <w:lang w:val="en-GB"/>
              </w:rPr>
              <w:instrText xml:space="preserve"> SEQ Mitigation_action \* ARABIC </w:instrText>
            </w:r>
            <w:r w:rsidRPr="009B5B67">
              <w:rPr>
                <w:rFonts w:cs="Arial"/>
                <w:b/>
                <w:bCs/>
                <w:szCs w:val="20"/>
                <w:lang w:val="en-GB"/>
              </w:rPr>
              <w:fldChar w:fldCharType="separate"/>
            </w:r>
            <w:r w:rsidR="00F57FA4">
              <w:rPr>
                <w:rFonts w:cs="Arial"/>
                <w:b/>
                <w:bCs/>
                <w:noProof/>
                <w:szCs w:val="20"/>
                <w:lang w:val="en-GB"/>
              </w:rPr>
              <w:t>18</w:t>
            </w:r>
            <w:r w:rsidRPr="009B5B67">
              <w:rPr>
                <w:rFonts w:cs="Arial"/>
                <w:b/>
                <w:bCs/>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64C4C0A" w14:textId="77777777" w:rsidR="00AD3320" w:rsidRPr="009B5B67" w:rsidRDefault="00AD3320" w:rsidP="00AD3320">
            <w:pPr>
              <w:spacing w:after="0"/>
              <w:rPr>
                <w:rFonts w:cs="Arial"/>
                <w:b/>
                <w:bCs/>
                <w:szCs w:val="20"/>
                <w:lang w:val="en-GB"/>
              </w:rPr>
            </w:pPr>
            <w:r w:rsidRPr="009B5B67">
              <w:rPr>
                <w:rFonts w:cs="Arial"/>
                <w:b/>
                <w:bCs/>
                <w:szCs w:val="20"/>
                <w:lang w:val="en-GB"/>
              </w:rPr>
              <w:t>Conversion of coppice to high forest</w:t>
            </w:r>
          </w:p>
        </w:tc>
      </w:tr>
      <w:tr w:rsidR="00AD3320" w:rsidRPr="000324FE" w14:paraId="5C83D89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06A98182" w14:textId="77777777" w:rsidR="00AD3320" w:rsidRPr="009B5B67" w:rsidRDefault="00AD3320" w:rsidP="00AD332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2FDA15D2" w14:textId="77777777" w:rsidR="00AD3320" w:rsidRPr="009B5B67" w:rsidRDefault="00AD3320" w:rsidP="00AD3320">
            <w:pPr>
              <w:spacing w:after="0"/>
              <w:rPr>
                <w:rFonts w:cs="Arial"/>
                <w:szCs w:val="20"/>
                <w:lang w:val="en-GB"/>
              </w:rPr>
            </w:pPr>
            <w:r w:rsidRPr="009B5B67">
              <w:rPr>
                <w:rFonts w:cs="Arial"/>
                <w:szCs w:val="20"/>
                <w:lang w:val="en-GB"/>
              </w:rPr>
              <w:t xml:space="preserve">This measure prescribes the annual conversion of 7,000 ha of coppice forest to high forests, in particular oak and beech coppice forests for conversion into high forest. At the present, the government is financing amelioration of forests, which also includes direct conversion of coppice forests. Direct conversion of coppice forests is a process consisting of clear cut of certain areas and then afforestation. This measure is available for </w:t>
            </w:r>
            <w:proofErr w:type="gramStart"/>
            <w:r w:rsidRPr="009B5B67">
              <w:rPr>
                <w:rFonts w:cs="Arial"/>
                <w:szCs w:val="20"/>
                <w:lang w:val="en-GB"/>
              </w:rPr>
              <w:t>the both</w:t>
            </w:r>
            <w:proofErr w:type="gramEnd"/>
            <w:r w:rsidRPr="009B5B67">
              <w:rPr>
                <w:rFonts w:cs="Arial"/>
                <w:szCs w:val="20"/>
                <w:lang w:val="en-GB"/>
              </w:rPr>
              <w:t xml:space="preserve"> State and private forests. </w:t>
            </w:r>
          </w:p>
        </w:tc>
      </w:tr>
      <w:tr w:rsidR="00AD3320" w:rsidRPr="000324FE" w14:paraId="1B5EDB7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9197871" w14:textId="77777777" w:rsidR="00AD3320" w:rsidRPr="009B5B67" w:rsidRDefault="00AD3320" w:rsidP="00AD332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hideMark/>
          </w:tcPr>
          <w:p w14:paraId="712E617D" w14:textId="77777777" w:rsidR="00AD3320" w:rsidRPr="009B5B67" w:rsidRDefault="00AD3320" w:rsidP="00AD3320">
            <w:pPr>
              <w:spacing w:after="0"/>
              <w:rPr>
                <w:rFonts w:cs="Arial"/>
                <w:szCs w:val="20"/>
                <w:lang w:val="en-GB"/>
              </w:rPr>
            </w:pPr>
            <w:r w:rsidRPr="009B5B67">
              <w:rPr>
                <w:rFonts w:cs="Arial"/>
                <w:szCs w:val="20"/>
                <w:lang w:val="en-GB"/>
              </w:rPr>
              <w:t xml:space="preserve">Increase the carbon sink by 17% </w:t>
            </w:r>
          </w:p>
        </w:tc>
      </w:tr>
      <w:tr w:rsidR="00AD3320" w:rsidRPr="009B5B67" w14:paraId="3040B393"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116432B" w14:textId="77777777" w:rsidR="00AD3320" w:rsidRPr="009B5B67" w:rsidRDefault="00AD3320" w:rsidP="00AD332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6E1B816A" w14:textId="77777777" w:rsidR="00AD3320" w:rsidRPr="009B5B67" w:rsidRDefault="00AD3320" w:rsidP="00AD3320">
            <w:pPr>
              <w:spacing w:after="0"/>
              <w:rPr>
                <w:rFonts w:cs="Arial"/>
                <w:szCs w:val="20"/>
                <w:lang w:val="en-GB"/>
              </w:rPr>
            </w:pPr>
            <w:r w:rsidRPr="009B5B67">
              <w:rPr>
                <w:rFonts w:cs="Arial"/>
                <w:szCs w:val="20"/>
                <w:lang w:val="en-GB"/>
              </w:rPr>
              <w:t>Regulatory, Incentives, Educational-Informational</w:t>
            </w:r>
          </w:p>
        </w:tc>
      </w:tr>
      <w:tr w:rsidR="00AD3320" w:rsidRPr="009B5B67" w14:paraId="4034D333"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D35CFD1" w14:textId="77777777" w:rsidR="00AD3320" w:rsidRPr="009B5B67" w:rsidRDefault="00AD3320" w:rsidP="00AD332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54724E5B" w14:textId="77777777" w:rsidR="00AD3320" w:rsidRPr="009B5B67" w:rsidRDefault="00AD3320" w:rsidP="00AD3320">
            <w:pPr>
              <w:spacing w:after="0"/>
              <w:rPr>
                <w:rFonts w:cs="Arial"/>
                <w:szCs w:val="20"/>
                <w:lang w:val="en-GB"/>
              </w:rPr>
            </w:pPr>
            <w:r w:rsidRPr="009B5B67">
              <w:rPr>
                <w:rFonts w:cs="Arial"/>
                <w:szCs w:val="20"/>
                <w:lang w:val="en-GB"/>
              </w:rPr>
              <w:t>Planned</w:t>
            </w:r>
          </w:p>
        </w:tc>
      </w:tr>
      <w:tr w:rsidR="00AD3320" w:rsidRPr="000324FE" w14:paraId="04BC4AE8"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59712B6" w14:textId="77777777" w:rsidR="00AD3320" w:rsidRPr="009B5B67" w:rsidRDefault="00AD3320" w:rsidP="00AD3320">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4FB59906" w14:textId="77777777" w:rsidR="00AD3320" w:rsidRPr="009B5B67" w:rsidRDefault="00AD3320" w:rsidP="00AD3320">
            <w:pPr>
              <w:spacing w:after="0"/>
              <w:rPr>
                <w:rFonts w:cs="Arial"/>
                <w:szCs w:val="20"/>
                <w:lang w:val="en-GB"/>
              </w:rPr>
            </w:pPr>
            <w:r w:rsidRPr="009B5B67">
              <w:rPr>
                <w:rFonts w:cs="Arial"/>
                <w:szCs w:val="20"/>
                <w:lang w:val="en-GB"/>
              </w:rPr>
              <w:t>Land use Land use Change and Forestry (LULUCF)</w:t>
            </w:r>
          </w:p>
        </w:tc>
      </w:tr>
      <w:tr w:rsidR="00AD3320" w:rsidRPr="009B5B67" w14:paraId="22278154"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69263F2" w14:textId="77777777" w:rsidR="00AD3320" w:rsidRPr="009B5B67" w:rsidRDefault="00AD3320" w:rsidP="00AD3320">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7911278F" w14:textId="77777777" w:rsidR="00AD3320" w:rsidRPr="009B5B67" w:rsidRDefault="00AD3320" w:rsidP="00AD3320">
            <w:pPr>
              <w:spacing w:after="0"/>
              <w:rPr>
                <w:rFonts w:cs="Arial"/>
                <w:szCs w:val="20"/>
                <w:lang w:val="en-GB"/>
              </w:rPr>
            </w:pPr>
            <w:r w:rsidRPr="009B5B67">
              <w:rPr>
                <w:rFonts w:cs="Arial"/>
                <w:szCs w:val="20"/>
                <w:lang w:val="en-GB"/>
              </w:rPr>
              <w:t>CO</w:t>
            </w:r>
            <w:r w:rsidRPr="009B5B67">
              <w:rPr>
                <w:rFonts w:cs="Arial"/>
                <w:szCs w:val="20"/>
                <w:vertAlign w:val="subscript"/>
                <w:lang w:val="en-GB"/>
              </w:rPr>
              <w:t>2</w:t>
            </w:r>
          </w:p>
        </w:tc>
      </w:tr>
      <w:tr w:rsidR="00AD3320" w:rsidRPr="009B5B67" w14:paraId="55397AC6"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099280A" w14:textId="77777777" w:rsidR="00AD3320" w:rsidRPr="009B5B67" w:rsidRDefault="00AD3320" w:rsidP="00AD3320">
            <w:pPr>
              <w:spacing w:after="0"/>
              <w:rPr>
                <w:rFonts w:cs="Arial"/>
                <w:szCs w:val="20"/>
                <w:lang w:val="en-GB"/>
              </w:rPr>
            </w:pPr>
            <w:r w:rsidRPr="009B5B6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6EA1EE22" w14:textId="77777777" w:rsidR="00AD3320" w:rsidRPr="009B5B67" w:rsidRDefault="00AD3320" w:rsidP="00AD3320">
            <w:pPr>
              <w:spacing w:after="0"/>
              <w:rPr>
                <w:rFonts w:cs="Arial"/>
                <w:szCs w:val="20"/>
                <w:lang w:val="en-GB"/>
              </w:rPr>
            </w:pPr>
            <w:r w:rsidRPr="009B5B67">
              <w:rPr>
                <w:rFonts w:cs="Arial"/>
                <w:szCs w:val="20"/>
                <w:lang w:val="en-GB"/>
              </w:rPr>
              <w:t>2021</w:t>
            </w:r>
          </w:p>
        </w:tc>
      </w:tr>
      <w:tr w:rsidR="00AD3320" w:rsidRPr="000324FE" w14:paraId="2649A8BC"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1927D17A" w14:textId="77777777" w:rsidR="00AD3320" w:rsidRPr="009B5B67" w:rsidRDefault="00AD3320" w:rsidP="00AD3320">
            <w:pPr>
              <w:spacing w:after="0"/>
              <w:rPr>
                <w:rFonts w:cs="Arial"/>
                <w:szCs w:val="20"/>
                <w:lang w:val="en-GB"/>
              </w:rPr>
            </w:pPr>
            <w:r w:rsidRPr="009B5B67">
              <w:rPr>
                <w:rFonts w:cs="Arial"/>
                <w:szCs w:val="20"/>
                <w:lang w:val="en-GB"/>
              </w:rPr>
              <w:lastRenderedPageBreak/>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279BFD1A" w14:textId="77777777" w:rsidR="00AD3320" w:rsidRPr="009B5B67" w:rsidRDefault="00AD3320" w:rsidP="00AD3320">
            <w:pPr>
              <w:spacing w:after="0"/>
              <w:rPr>
                <w:rFonts w:cs="Arial"/>
                <w:szCs w:val="20"/>
                <w:lang w:val="en-GB"/>
              </w:rPr>
            </w:pPr>
            <w:r w:rsidRPr="009B5B67">
              <w:rPr>
                <w:rFonts w:cs="Arial"/>
                <w:szCs w:val="20"/>
                <w:lang w:val="en-GB"/>
              </w:rPr>
              <w:t xml:space="preserve">Ministry for Agriculture, Forestry and Water Management, Research institutions, Organizations responsible for the forest management, </w:t>
            </w:r>
            <w:proofErr w:type="gramStart"/>
            <w:r w:rsidRPr="009B5B67">
              <w:rPr>
                <w:rFonts w:cs="Arial"/>
                <w:szCs w:val="20"/>
                <w:lang w:val="en-GB"/>
              </w:rPr>
              <w:t>Private forest</w:t>
            </w:r>
            <w:proofErr w:type="gramEnd"/>
            <w:r w:rsidRPr="009B5B67">
              <w:rPr>
                <w:rFonts w:cs="Arial"/>
                <w:szCs w:val="20"/>
                <w:lang w:val="en-GB"/>
              </w:rPr>
              <w:t xml:space="preserve"> owners</w:t>
            </w:r>
          </w:p>
        </w:tc>
      </w:tr>
      <w:tr w:rsidR="00AD3320" w:rsidRPr="000324FE" w14:paraId="550B6E51"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72DB096A" w14:textId="77777777" w:rsidR="00AD3320" w:rsidRPr="009B5B67" w:rsidRDefault="00AD3320" w:rsidP="00AD3320">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58050E88" w14:textId="77777777" w:rsidR="00AD3320" w:rsidRPr="009B5B67" w:rsidRDefault="00AD3320" w:rsidP="00AD3320">
            <w:pPr>
              <w:spacing w:after="0"/>
              <w:rPr>
                <w:rFonts w:cs="Arial"/>
                <w:szCs w:val="20"/>
                <w:lang w:val="en-GB"/>
              </w:rPr>
            </w:pPr>
            <w:r w:rsidRPr="009B5B67">
              <w:rPr>
                <w:rFonts w:cs="Arial"/>
                <w:szCs w:val="20"/>
                <w:lang w:val="en-GB"/>
              </w:rPr>
              <w:t>The additional investment costs: 33.5 Mio EUR</w:t>
            </w:r>
          </w:p>
        </w:tc>
      </w:tr>
      <w:tr w:rsidR="00AD3320" w:rsidRPr="000324FE" w14:paraId="5B4FD807"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293FD62" w14:textId="77777777" w:rsidR="00AD3320" w:rsidRPr="009B5B67" w:rsidRDefault="00AD3320" w:rsidP="00AD3320">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726C57EA" w14:textId="77777777" w:rsidR="00AD3320" w:rsidRPr="009B5B67" w:rsidRDefault="00AD3320" w:rsidP="00AD3320">
            <w:pPr>
              <w:spacing w:after="0"/>
              <w:rPr>
                <w:rFonts w:cs="Arial"/>
                <w:szCs w:val="20"/>
                <w:lang w:val="en-GB"/>
              </w:rPr>
            </w:pPr>
            <w:r w:rsidRPr="009B5B67">
              <w:rPr>
                <w:rFonts w:cs="Arial"/>
                <w:szCs w:val="20"/>
                <w:lang w:val="en-GB"/>
              </w:rPr>
              <w:t>Increase biodiversity</w:t>
            </w:r>
          </w:p>
          <w:p w14:paraId="41759881" w14:textId="77777777" w:rsidR="00AD3320" w:rsidRPr="009B5B67" w:rsidRDefault="00AD3320" w:rsidP="00AD3320">
            <w:pPr>
              <w:spacing w:after="0"/>
              <w:rPr>
                <w:rFonts w:cs="Arial"/>
                <w:szCs w:val="20"/>
                <w:lang w:val="en-GB"/>
              </w:rPr>
            </w:pPr>
            <w:r w:rsidRPr="009B5B67">
              <w:rPr>
                <w:rFonts w:cs="Arial"/>
                <w:szCs w:val="20"/>
                <w:lang w:val="en-GB"/>
              </w:rPr>
              <w:t xml:space="preserve">Conserve rainwater </w:t>
            </w:r>
          </w:p>
          <w:p w14:paraId="5768674D" w14:textId="77777777" w:rsidR="00AD3320" w:rsidRPr="009B5B67" w:rsidRDefault="00AD3320" w:rsidP="00AD3320">
            <w:pPr>
              <w:spacing w:after="0"/>
              <w:rPr>
                <w:rFonts w:cs="Arial"/>
                <w:szCs w:val="20"/>
                <w:lang w:val="en-GB"/>
              </w:rPr>
            </w:pPr>
            <w:r w:rsidRPr="009B5B67">
              <w:rPr>
                <w:rFonts w:cs="Arial"/>
                <w:szCs w:val="20"/>
                <w:lang w:val="en-GB"/>
              </w:rPr>
              <w:t>Increase employment</w:t>
            </w:r>
          </w:p>
        </w:tc>
      </w:tr>
      <w:tr w:rsidR="00AD3320" w:rsidRPr="000324FE" w14:paraId="43694E9A"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211F6354" w14:textId="77777777" w:rsidR="00AD3320" w:rsidRPr="009B5B67" w:rsidRDefault="00AD3320" w:rsidP="00AD3320">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4C325EBD" w14:textId="77777777" w:rsidR="00AD3320" w:rsidRPr="009B5B67" w:rsidRDefault="00AD3320" w:rsidP="00AD3320">
            <w:pPr>
              <w:spacing w:after="0"/>
              <w:rPr>
                <w:rFonts w:cs="Arial"/>
                <w:szCs w:val="20"/>
                <w:lang w:val="en-GB"/>
              </w:rPr>
            </w:pPr>
            <w:r w:rsidRPr="009B5B67">
              <w:rPr>
                <w:rFonts w:cs="Arial"/>
                <w:szCs w:val="20"/>
                <w:lang w:val="en-GB"/>
              </w:rPr>
              <w:t>Action is combined with Mitigation action 13</w:t>
            </w:r>
          </w:p>
        </w:tc>
      </w:tr>
      <w:tr w:rsidR="00AD3320" w:rsidRPr="009B5B67" w14:paraId="43AF8D8E"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39F950E6" w14:textId="77777777" w:rsidR="00AD3320" w:rsidRPr="009B5B67" w:rsidRDefault="00AD3320" w:rsidP="00AD3320">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2CA15110" w14:textId="77777777" w:rsidR="00AD3320" w:rsidRPr="009B5B67" w:rsidRDefault="00AD3320" w:rsidP="00AD3320">
            <w:pPr>
              <w:spacing w:after="0"/>
              <w:rPr>
                <w:rFonts w:cs="Arial"/>
                <w:szCs w:val="20"/>
                <w:lang w:val="en-GB"/>
              </w:rPr>
            </w:pPr>
            <w:r w:rsidRPr="009B5B67">
              <w:rPr>
                <w:rFonts w:cs="Arial"/>
                <w:szCs w:val="20"/>
                <w:lang w:val="en-GB"/>
              </w:rPr>
              <w:t>458.4 kt CO</w:t>
            </w:r>
            <w:r w:rsidRPr="009B5B67">
              <w:rPr>
                <w:rFonts w:cs="Arial"/>
                <w:szCs w:val="20"/>
                <w:vertAlign w:val="subscript"/>
                <w:lang w:val="en-GB"/>
              </w:rPr>
              <w:t>2</w:t>
            </w:r>
          </w:p>
        </w:tc>
      </w:tr>
      <w:tr w:rsidR="00AD3320" w:rsidRPr="009B5B67" w14:paraId="306D0EB7"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40D66A03" w14:textId="77777777" w:rsidR="00AD3320" w:rsidRPr="009B5B67" w:rsidRDefault="00AD3320" w:rsidP="00AD3320">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7CADBE5E" w14:textId="77777777" w:rsidR="00AD3320" w:rsidRPr="009B5B67" w:rsidRDefault="00AD3320" w:rsidP="00AD3320">
            <w:pPr>
              <w:spacing w:after="0"/>
              <w:rPr>
                <w:rFonts w:cs="Arial"/>
                <w:szCs w:val="20"/>
                <w:lang w:val="en-GB"/>
              </w:rPr>
            </w:pPr>
            <w:r w:rsidRPr="009B5B67">
              <w:rPr>
                <w:rFonts w:cs="Arial"/>
                <w:szCs w:val="20"/>
                <w:lang w:val="en-GB"/>
              </w:rPr>
              <w:t>2030</w:t>
            </w:r>
          </w:p>
        </w:tc>
      </w:tr>
      <w:tr w:rsidR="00AD3320" w:rsidRPr="009B5B67" w14:paraId="32A87E59" w14:textId="77777777" w:rsidTr="00AD3320">
        <w:tc>
          <w:tcPr>
            <w:tcW w:w="4531" w:type="dxa"/>
            <w:tcBorders>
              <w:top w:val="single" w:sz="4" w:space="0" w:color="auto"/>
              <w:left w:val="single" w:sz="4" w:space="0" w:color="auto"/>
              <w:bottom w:val="single" w:sz="4" w:space="0" w:color="auto"/>
              <w:right w:val="single" w:sz="4" w:space="0" w:color="auto"/>
            </w:tcBorders>
            <w:hideMark/>
          </w:tcPr>
          <w:p w14:paraId="62DA51FA" w14:textId="77777777" w:rsidR="00AD3320" w:rsidRPr="009B5B67" w:rsidRDefault="00AD3320" w:rsidP="00AD3320">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6C87D94E" w14:textId="77777777" w:rsidR="00AD3320" w:rsidRPr="009B5B67" w:rsidRDefault="00AD3320" w:rsidP="00AD3320">
            <w:pPr>
              <w:spacing w:after="0"/>
              <w:rPr>
                <w:rFonts w:cs="Arial"/>
                <w:szCs w:val="20"/>
                <w:lang w:val="en-GB"/>
              </w:rPr>
            </w:pPr>
            <w:r w:rsidRPr="009B5B67">
              <w:rPr>
                <w:rFonts w:cs="Arial"/>
                <w:szCs w:val="20"/>
                <w:lang w:val="en-GB"/>
              </w:rPr>
              <w:t>-</w:t>
            </w:r>
          </w:p>
        </w:tc>
      </w:tr>
    </w:tbl>
    <w:p w14:paraId="0503DD4C" w14:textId="3A2A248D" w:rsidR="00AD3320" w:rsidRDefault="00AD3320" w:rsidP="00AD3320">
      <w:pPr>
        <w:spacing w:after="0"/>
        <w:rPr>
          <w:rFonts w:cs="Arial"/>
          <w:szCs w:val="20"/>
          <w:lang w:val="en-GB"/>
        </w:rPr>
      </w:pPr>
    </w:p>
    <w:p w14:paraId="7DC91281" w14:textId="68DEB7AC" w:rsidR="006E5F69" w:rsidRDefault="006E5F69"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6E5F69" w:rsidRPr="000324FE" w14:paraId="5FE8ABF8" w14:textId="77777777" w:rsidTr="00DD580C">
        <w:trPr>
          <w:trHeight w:val="408"/>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8F19A3F" w14:textId="64AC0402" w:rsidR="006E5F69" w:rsidRPr="009B5B67" w:rsidRDefault="006E5F69" w:rsidP="00790A00">
            <w:pPr>
              <w:spacing w:after="0"/>
              <w:rPr>
                <w:rFonts w:cs="Arial"/>
                <w:b/>
                <w:bCs/>
                <w:szCs w:val="20"/>
                <w:lang w:val="en-GB"/>
              </w:rPr>
            </w:pPr>
            <w:r w:rsidRPr="009B5B67">
              <w:rPr>
                <w:rFonts w:cs="Arial"/>
                <w:b/>
                <w:bCs/>
                <w:szCs w:val="20"/>
                <w:lang w:val="en-GB"/>
              </w:rPr>
              <w:t xml:space="preserve">Mitigation action </w:t>
            </w:r>
            <w:r w:rsidRPr="009B5B67">
              <w:rPr>
                <w:rFonts w:cs="Arial"/>
                <w:b/>
                <w:bCs/>
                <w:szCs w:val="20"/>
                <w:lang w:val="en-GB"/>
              </w:rPr>
              <w:fldChar w:fldCharType="begin"/>
            </w:r>
            <w:r w:rsidRPr="009B5B67">
              <w:rPr>
                <w:rFonts w:cs="Arial"/>
                <w:b/>
                <w:bCs/>
                <w:szCs w:val="20"/>
                <w:lang w:val="en-GB"/>
              </w:rPr>
              <w:instrText xml:space="preserve"> SEQ Mitigation_action \* ARABIC </w:instrText>
            </w:r>
            <w:r w:rsidRPr="009B5B67">
              <w:rPr>
                <w:rFonts w:cs="Arial"/>
                <w:b/>
                <w:bCs/>
                <w:szCs w:val="20"/>
                <w:lang w:val="en-GB"/>
              </w:rPr>
              <w:fldChar w:fldCharType="separate"/>
            </w:r>
            <w:r w:rsidR="00F57FA4">
              <w:rPr>
                <w:rFonts w:cs="Arial"/>
                <w:b/>
                <w:bCs/>
                <w:noProof/>
                <w:szCs w:val="20"/>
                <w:lang w:val="en-GB"/>
              </w:rPr>
              <w:t>19</w:t>
            </w:r>
            <w:r w:rsidRPr="009B5B67">
              <w:rPr>
                <w:rFonts w:cs="Arial"/>
                <w:b/>
                <w:bCs/>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B75946" w14:textId="120E180A" w:rsidR="006E5F69" w:rsidRPr="009B5B67" w:rsidRDefault="006E5F69" w:rsidP="00790A00">
            <w:pPr>
              <w:spacing w:after="0"/>
              <w:rPr>
                <w:rFonts w:cs="Arial"/>
                <w:b/>
                <w:bCs/>
                <w:szCs w:val="20"/>
                <w:lang w:val="en-GB"/>
              </w:rPr>
            </w:pPr>
            <w:r w:rsidRPr="00F57FA4">
              <w:rPr>
                <w:b/>
                <w:lang w:val="en-US"/>
              </w:rPr>
              <w:t>Definition of guidelines for the reduction of abiotic and biotic factors</w:t>
            </w:r>
          </w:p>
        </w:tc>
      </w:tr>
      <w:tr w:rsidR="006E5F69" w:rsidRPr="000324FE" w14:paraId="27FC4037"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7C1A2541" w14:textId="77777777" w:rsidR="006E5F69" w:rsidRPr="009B5B67" w:rsidRDefault="006E5F69" w:rsidP="00790A00">
            <w:pPr>
              <w:spacing w:after="0"/>
              <w:rPr>
                <w:rFonts w:cs="Arial"/>
                <w:szCs w:val="20"/>
                <w:lang w:val="en-GB"/>
              </w:rPr>
            </w:pPr>
            <w:r w:rsidRPr="009B5B6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tcPr>
          <w:p w14:paraId="5613A030" w14:textId="77777777" w:rsidR="006E5F69" w:rsidRDefault="00DD580C" w:rsidP="00DC7CCA">
            <w:pPr>
              <w:spacing w:after="0"/>
              <w:rPr>
                <w:lang w:val="en-US"/>
              </w:rPr>
            </w:pPr>
            <w:r w:rsidRPr="00DD580C">
              <w:rPr>
                <w:b/>
                <w:lang w:val="en-US"/>
              </w:rPr>
              <w:t>Forest management:</w:t>
            </w:r>
            <w:r>
              <w:rPr>
                <w:lang w:val="en-US"/>
              </w:rPr>
              <w:t xml:space="preserve"> </w:t>
            </w:r>
            <w:r w:rsidR="006E5F69" w:rsidRPr="003D44E8">
              <w:rPr>
                <w:lang w:val="en-US"/>
              </w:rPr>
              <w:t xml:space="preserve">Improved land use planning; improved infrastructure for accessing remote areas; </w:t>
            </w:r>
            <w:r w:rsidR="00DC7CCA">
              <w:rPr>
                <w:iCs/>
                <w:lang w:val="en-US"/>
              </w:rPr>
              <w:t>p</w:t>
            </w:r>
            <w:r w:rsidR="00DC7CCA" w:rsidRPr="003D44E8">
              <w:rPr>
                <w:iCs/>
                <w:lang w:val="en-US"/>
              </w:rPr>
              <w:t>reparation of prevention management guidelines</w:t>
            </w:r>
            <w:r w:rsidR="00DC7CCA">
              <w:rPr>
                <w:iCs/>
                <w:lang w:val="en-US"/>
              </w:rPr>
              <w:t>; e</w:t>
            </w:r>
            <w:r w:rsidR="00DC7CCA" w:rsidRPr="003D44E8">
              <w:rPr>
                <w:iCs/>
                <w:lang w:val="en-US"/>
              </w:rPr>
              <w:t xml:space="preserve">stablishment of an adequate mechanism for the monitoring of </w:t>
            </w:r>
            <w:proofErr w:type="gramStart"/>
            <w:r w:rsidR="00DC7CCA" w:rsidRPr="003D44E8">
              <w:rPr>
                <w:iCs/>
                <w:lang w:val="en-US"/>
              </w:rPr>
              <w:t>wild fires</w:t>
            </w:r>
            <w:proofErr w:type="gramEnd"/>
            <w:r w:rsidR="00DC7CCA">
              <w:rPr>
                <w:iCs/>
                <w:lang w:val="en-US"/>
              </w:rPr>
              <w:t xml:space="preserve">; </w:t>
            </w:r>
            <w:r w:rsidR="00DC7CCA">
              <w:rPr>
                <w:lang w:val="en-US"/>
              </w:rPr>
              <w:t>e</w:t>
            </w:r>
            <w:r w:rsidR="00DC7CCA" w:rsidRPr="003D44E8">
              <w:rPr>
                <w:lang w:val="en-US"/>
              </w:rPr>
              <w:t>ducation and training on the practical implementation of fire prevention management guidelines for foresters and fire-brigades</w:t>
            </w:r>
          </w:p>
          <w:p w14:paraId="1214187D" w14:textId="366B73AB" w:rsidR="00DD580C" w:rsidRPr="009B5B67" w:rsidRDefault="00DD580C" w:rsidP="00DC7CCA">
            <w:pPr>
              <w:spacing w:after="0"/>
              <w:rPr>
                <w:rFonts w:cs="Arial"/>
                <w:szCs w:val="20"/>
                <w:lang w:val="en-GB"/>
              </w:rPr>
            </w:pPr>
            <w:r w:rsidRPr="00DD580C">
              <w:rPr>
                <w:b/>
                <w:lang w:val="en-US"/>
              </w:rPr>
              <w:t>Integrated pest management:</w:t>
            </w:r>
            <w:r>
              <w:rPr>
                <w:lang w:val="en-US"/>
              </w:rPr>
              <w:t xml:space="preserve"> </w:t>
            </w:r>
            <w:r w:rsidRPr="003D44E8">
              <w:rPr>
                <w:lang w:val="en-US"/>
              </w:rPr>
              <w:t>Monitoring of pests; preparation of pest management plans; prevention and use of pest control methods</w:t>
            </w:r>
          </w:p>
        </w:tc>
      </w:tr>
      <w:tr w:rsidR="006E5F69" w:rsidRPr="000324FE" w14:paraId="28563A92"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1338386D" w14:textId="77777777" w:rsidR="006E5F69" w:rsidRPr="009B5B67" w:rsidRDefault="006E5F69" w:rsidP="00790A00">
            <w:pPr>
              <w:spacing w:after="0"/>
              <w:rPr>
                <w:rFonts w:cs="Arial"/>
                <w:szCs w:val="20"/>
                <w:lang w:val="en-GB"/>
              </w:rPr>
            </w:pPr>
            <w:r w:rsidRPr="009B5B67">
              <w:rPr>
                <w:rFonts w:cs="Arial"/>
                <w:szCs w:val="20"/>
                <w:lang w:val="en-GB"/>
              </w:rPr>
              <w:t>Indicators</w:t>
            </w:r>
          </w:p>
        </w:tc>
        <w:tc>
          <w:tcPr>
            <w:tcW w:w="9498" w:type="dxa"/>
            <w:tcBorders>
              <w:top w:val="single" w:sz="4" w:space="0" w:color="auto"/>
              <w:left w:val="single" w:sz="4" w:space="0" w:color="auto"/>
              <w:bottom w:val="single" w:sz="4" w:space="0" w:color="auto"/>
              <w:right w:val="single" w:sz="4" w:space="0" w:color="auto"/>
            </w:tcBorders>
          </w:tcPr>
          <w:p w14:paraId="6ED97B25" w14:textId="771734BD" w:rsidR="006E5F69" w:rsidRPr="009B5B67" w:rsidRDefault="00DC7CCA" w:rsidP="00790A00">
            <w:pPr>
              <w:spacing w:after="0"/>
              <w:rPr>
                <w:rFonts w:cs="Arial"/>
                <w:szCs w:val="20"/>
                <w:lang w:val="en-GB"/>
              </w:rPr>
            </w:pPr>
            <w:r w:rsidRPr="009B5B67">
              <w:rPr>
                <w:rFonts w:cs="Arial"/>
                <w:szCs w:val="20"/>
                <w:lang w:val="en-GB"/>
              </w:rPr>
              <w:t>Increase the carbon sink by 17%</w:t>
            </w:r>
          </w:p>
        </w:tc>
      </w:tr>
      <w:tr w:rsidR="006E5F69" w:rsidRPr="009B5B67" w14:paraId="68ECCC66"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0F11BDE5" w14:textId="77777777" w:rsidR="006E5F69" w:rsidRPr="009B5B67" w:rsidRDefault="006E5F69" w:rsidP="00790A00">
            <w:pPr>
              <w:spacing w:after="0"/>
              <w:rPr>
                <w:rFonts w:cs="Arial"/>
                <w:szCs w:val="20"/>
                <w:lang w:val="en-GB"/>
              </w:rPr>
            </w:pPr>
            <w:r w:rsidRPr="009B5B6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tcPr>
          <w:p w14:paraId="36AEBF47" w14:textId="0CB5A629" w:rsidR="006E5F69" w:rsidRPr="009B5B67" w:rsidRDefault="006E5F69" w:rsidP="00790A00">
            <w:pPr>
              <w:spacing w:after="0"/>
              <w:rPr>
                <w:rFonts w:cs="Arial"/>
                <w:szCs w:val="20"/>
                <w:lang w:val="en-GB"/>
              </w:rPr>
            </w:pPr>
            <w:r>
              <w:rPr>
                <w:rFonts w:cs="Arial"/>
                <w:szCs w:val="20"/>
                <w:lang w:val="en-GB"/>
              </w:rPr>
              <w:t>Planning, education</w:t>
            </w:r>
          </w:p>
        </w:tc>
      </w:tr>
      <w:tr w:rsidR="006E5F69" w:rsidRPr="009B5B67" w14:paraId="35559805"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5F6A5B71" w14:textId="77777777" w:rsidR="006E5F69" w:rsidRPr="009B5B67" w:rsidRDefault="006E5F69" w:rsidP="00790A00">
            <w:pPr>
              <w:spacing w:after="0"/>
              <w:rPr>
                <w:rFonts w:cs="Arial"/>
                <w:szCs w:val="20"/>
                <w:lang w:val="en-GB"/>
              </w:rPr>
            </w:pPr>
            <w:r w:rsidRPr="009B5B6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tcPr>
          <w:p w14:paraId="0E42D798" w14:textId="2A270759" w:rsidR="006E5F69" w:rsidRPr="009B5B67" w:rsidRDefault="006E5F69" w:rsidP="00790A00">
            <w:pPr>
              <w:spacing w:after="0"/>
              <w:rPr>
                <w:rFonts w:cs="Arial"/>
                <w:szCs w:val="20"/>
                <w:lang w:val="en-GB"/>
              </w:rPr>
            </w:pPr>
            <w:r>
              <w:rPr>
                <w:rFonts w:cs="Arial"/>
                <w:szCs w:val="20"/>
                <w:lang w:val="en-GB"/>
              </w:rPr>
              <w:t>Planned</w:t>
            </w:r>
          </w:p>
        </w:tc>
      </w:tr>
      <w:tr w:rsidR="006E5F69" w:rsidRPr="000324FE" w14:paraId="5DBFEE5C"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2FB5BB54" w14:textId="77777777" w:rsidR="006E5F69" w:rsidRPr="009B5B67" w:rsidRDefault="006E5F69" w:rsidP="006E5F69">
            <w:pPr>
              <w:spacing w:after="0"/>
              <w:rPr>
                <w:rFonts w:cs="Arial"/>
                <w:szCs w:val="20"/>
                <w:lang w:val="en-GB"/>
              </w:rPr>
            </w:pPr>
            <w:r w:rsidRPr="009B5B6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tcPr>
          <w:p w14:paraId="69E0523D" w14:textId="3A59CE4C" w:rsidR="006E5F69" w:rsidRPr="009B5B67" w:rsidRDefault="006E5F69" w:rsidP="006E5F69">
            <w:pPr>
              <w:spacing w:after="0"/>
              <w:rPr>
                <w:rFonts w:cs="Arial"/>
                <w:szCs w:val="20"/>
                <w:lang w:val="en-GB"/>
              </w:rPr>
            </w:pPr>
            <w:r w:rsidRPr="009B5B67">
              <w:rPr>
                <w:rFonts w:cs="Arial"/>
                <w:szCs w:val="20"/>
                <w:lang w:val="en-GB"/>
              </w:rPr>
              <w:t>Land use Land use Change and Forestry (LULUCF)</w:t>
            </w:r>
          </w:p>
        </w:tc>
      </w:tr>
      <w:tr w:rsidR="006E5F69" w:rsidRPr="009B5B67" w14:paraId="6FCC8B6A"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27283775" w14:textId="77777777" w:rsidR="006E5F69" w:rsidRPr="009B5B67" w:rsidRDefault="006E5F69" w:rsidP="006E5F69">
            <w:pPr>
              <w:spacing w:after="0"/>
              <w:rPr>
                <w:rFonts w:cs="Arial"/>
                <w:szCs w:val="20"/>
                <w:lang w:val="en-GB"/>
              </w:rPr>
            </w:pPr>
            <w:r w:rsidRPr="009B5B6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tcPr>
          <w:p w14:paraId="4CE45CE5" w14:textId="224C0B35" w:rsidR="006E5F69" w:rsidRPr="009B5B67" w:rsidRDefault="006E5F69" w:rsidP="006E5F69">
            <w:pPr>
              <w:spacing w:after="0"/>
              <w:rPr>
                <w:rFonts w:cs="Arial"/>
                <w:szCs w:val="20"/>
                <w:lang w:val="en-GB"/>
              </w:rPr>
            </w:pPr>
            <w:r w:rsidRPr="009B5B67">
              <w:rPr>
                <w:rFonts w:cs="Arial"/>
                <w:szCs w:val="20"/>
                <w:lang w:val="en-GB"/>
              </w:rPr>
              <w:t>CO</w:t>
            </w:r>
            <w:r w:rsidRPr="009B5B67">
              <w:rPr>
                <w:rFonts w:cs="Arial"/>
                <w:szCs w:val="20"/>
                <w:vertAlign w:val="subscript"/>
                <w:lang w:val="en-GB"/>
              </w:rPr>
              <w:t>2</w:t>
            </w:r>
          </w:p>
        </w:tc>
      </w:tr>
      <w:tr w:rsidR="006E5F69" w:rsidRPr="009B5B67" w14:paraId="3790BF33"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150D53A0" w14:textId="77777777" w:rsidR="006E5F69" w:rsidRPr="009B5B67" w:rsidRDefault="006E5F69" w:rsidP="006E5F69">
            <w:pPr>
              <w:spacing w:after="0"/>
              <w:rPr>
                <w:rFonts w:cs="Arial"/>
                <w:szCs w:val="20"/>
                <w:lang w:val="en-GB"/>
              </w:rPr>
            </w:pPr>
            <w:r w:rsidRPr="009B5B67">
              <w:rPr>
                <w:rFonts w:cs="Arial"/>
                <w:szCs w:val="20"/>
                <w:lang w:val="en-GB"/>
              </w:rPr>
              <w:lastRenderedPageBreak/>
              <w:t>Start year of implementation</w:t>
            </w:r>
          </w:p>
        </w:tc>
        <w:tc>
          <w:tcPr>
            <w:tcW w:w="9498" w:type="dxa"/>
            <w:tcBorders>
              <w:top w:val="single" w:sz="4" w:space="0" w:color="auto"/>
              <w:left w:val="single" w:sz="4" w:space="0" w:color="auto"/>
              <w:bottom w:val="single" w:sz="4" w:space="0" w:color="auto"/>
              <w:right w:val="single" w:sz="4" w:space="0" w:color="auto"/>
            </w:tcBorders>
          </w:tcPr>
          <w:p w14:paraId="3B4DED2E" w14:textId="5A56C2AC" w:rsidR="006E5F69" w:rsidRPr="009B5B67" w:rsidRDefault="006E5F69" w:rsidP="006E5F69">
            <w:pPr>
              <w:spacing w:after="0"/>
              <w:rPr>
                <w:rFonts w:cs="Arial"/>
                <w:szCs w:val="20"/>
                <w:lang w:val="en-GB"/>
              </w:rPr>
            </w:pPr>
            <w:r w:rsidRPr="009B5B67">
              <w:rPr>
                <w:rFonts w:cs="Arial"/>
                <w:szCs w:val="20"/>
                <w:lang w:val="en-GB"/>
              </w:rPr>
              <w:t>2021</w:t>
            </w:r>
          </w:p>
        </w:tc>
      </w:tr>
      <w:tr w:rsidR="006E5F69" w:rsidRPr="000324FE" w14:paraId="29BCC775"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4703D7ED" w14:textId="77777777" w:rsidR="006E5F69" w:rsidRPr="009B5B67" w:rsidRDefault="006E5F69" w:rsidP="006E5F69">
            <w:pPr>
              <w:spacing w:after="0"/>
              <w:rPr>
                <w:rFonts w:cs="Arial"/>
                <w:szCs w:val="20"/>
                <w:lang w:val="en-GB"/>
              </w:rPr>
            </w:pPr>
            <w:r w:rsidRPr="009B5B6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tcPr>
          <w:p w14:paraId="797F751D" w14:textId="2AFC2396" w:rsidR="006E5F69" w:rsidRPr="009B5B67" w:rsidRDefault="006E5F69" w:rsidP="006E5F69">
            <w:pPr>
              <w:spacing w:after="0"/>
              <w:rPr>
                <w:rFonts w:cs="Arial"/>
                <w:szCs w:val="20"/>
                <w:lang w:val="en-GB"/>
              </w:rPr>
            </w:pPr>
            <w:r>
              <w:rPr>
                <w:rFonts w:cs="Arial"/>
                <w:szCs w:val="20"/>
                <w:lang w:val="en-GB"/>
              </w:rPr>
              <w:t>Ministry responsible for forestry, chamber of forest engineers</w:t>
            </w:r>
          </w:p>
        </w:tc>
      </w:tr>
      <w:tr w:rsidR="006E5F69" w:rsidRPr="000324FE" w14:paraId="4D4A1CB5"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4A3C98F6" w14:textId="77777777" w:rsidR="006E5F69" w:rsidRPr="009B5B67" w:rsidRDefault="006E5F69" w:rsidP="006E5F69">
            <w:pPr>
              <w:spacing w:after="0"/>
              <w:rPr>
                <w:rFonts w:cs="Arial"/>
                <w:szCs w:val="20"/>
                <w:lang w:val="en-GB"/>
              </w:rPr>
            </w:pPr>
            <w:r w:rsidRPr="009B5B6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tcPr>
          <w:p w14:paraId="12BB582A" w14:textId="5E3E77E4" w:rsidR="006E5F69" w:rsidRPr="003D44E8" w:rsidRDefault="006E5F69" w:rsidP="006E5F69">
            <w:pPr>
              <w:rPr>
                <w:szCs w:val="20"/>
                <w:lang w:val="en-US"/>
              </w:rPr>
            </w:pPr>
            <w:r w:rsidRPr="003D44E8">
              <w:rPr>
                <w:szCs w:val="20"/>
                <w:lang w:val="en-US"/>
              </w:rPr>
              <w:t xml:space="preserve">Costs: 0.025 </w:t>
            </w:r>
            <w:proofErr w:type="spellStart"/>
            <w:r w:rsidRPr="003D44E8">
              <w:rPr>
                <w:szCs w:val="20"/>
                <w:lang w:val="en-US"/>
              </w:rPr>
              <w:t>mio</w:t>
            </w:r>
            <w:proofErr w:type="spellEnd"/>
            <w:r w:rsidRPr="003D44E8">
              <w:rPr>
                <w:szCs w:val="20"/>
                <w:lang w:val="en-US"/>
              </w:rPr>
              <w:t xml:space="preserve"> Euros/</w:t>
            </w:r>
            <w:proofErr w:type="spellStart"/>
            <w:r w:rsidRPr="003D44E8">
              <w:rPr>
                <w:szCs w:val="20"/>
                <w:lang w:val="en-US"/>
              </w:rPr>
              <w:t>yr</w:t>
            </w:r>
            <w:proofErr w:type="spellEnd"/>
            <w:r w:rsidRPr="003D44E8">
              <w:rPr>
                <w:szCs w:val="20"/>
                <w:lang w:val="en-US"/>
              </w:rPr>
              <w:t xml:space="preserve"> (source of finance is same for </w:t>
            </w:r>
            <w:r w:rsidR="00CE2752">
              <w:rPr>
                <w:szCs w:val="20"/>
                <w:lang w:val="en-US"/>
              </w:rPr>
              <w:t>fire management and8u</w:t>
            </w:r>
            <w:r w:rsidRPr="003D44E8">
              <w:rPr>
                <w:szCs w:val="20"/>
                <w:lang w:val="en-US"/>
              </w:rPr>
              <w:t xml:space="preserve"> integrated pest management, defined in quantity of 0.5 </w:t>
            </w:r>
            <w:proofErr w:type="spellStart"/>
            <w:r w:rsidRPr="003D44E8">
              <w:rPr>
                <w:szCs w:val="20"/>
                <w:lang w:val="en-US"/>
              </w:rPr>
              <w:t>mio</w:t>
            </w:r>
            <w:proofErr w:type="spellEnd"/>
            <w:r w:rsidRPr="003D44E8">
              <w:rPr>
                <w:szCs w:val="20"/>
                <w:lang w:val="en-US"/>
              </w:rPr>
              <w:t xml:space="preserve"> Euros/year for both measures, and evenly distributed for definition of guidelines for implementation of both measures)</w:t>
            </w:r>
          </w:p>
          <w:p w14:paraId="11C4FDD2" w14:textId="383201AD" w:rsidR="006E5F69" w:rsidRPr="009B5B67" w:rsidRDefault="006E5F69" w:rsidP="006E5F69">
            <w:pPr>
              <w:spacing w:after="0"/>
              <w:rPr>
                <w:rFonts w:cs="Arial"/>
                <w:szCs w:val="20"/>
                <w:lang w:val="en-GB"/>
              </w:rPr>
            </w:pPr>
            <w:r w:rsidRPr="003D44E8">
              <w:rPr>
                <w:szCs w:val="20"/>
                <w:lang w:val="en-US"/>
              </w:rPr>
              <w:t>Revenues: from higher value of timber that is not damaged</w:t>
            </w:r>
          </w:p>
        </w:tc>
      </w:tr>
      <w:tr w:rsidR="006E5F69" w:rsidRPr="009D39F3" w14:paraId="2DC0D28B"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2F3C272B" w14:textId="77777777" w:rsidR="006E5F69" w:rsidRPr="009B5B67" w:rsidRDefault="006E5F69" w:rsidP="006E5F69">
            <w:pPr>
              <w:spacing w:after="0"/>
              <w:rPr>
                <w:rFonts w:cs="Arial"/>
                <w:szCs w:val="20"/>
                <w:lang w:val="en-GB"/>
              </w:rPr>
            </w:pPr>
            <w:r w:rsidRPr="009B5B6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vAlign w:val="center"/>
          </w:tcPr>
          <w:p w14:paraId="5D8E22D4" w14:textId="77777777" w:rsidR="006E5F69" w:rsidRDefault="006E5F69" w:rsidP="006E5F69">
            <w:pPr>
              <w:spacing w:after="0"/>
              <w:rPr>
                <w:lang w:val="en-US"/>
              </w:rPr>
            </w:pPr>
            <w:r w:rsidRPr="003D44E8">
              <w:rPr>
                <w:lang w:val="en-US"/>
              </w:rPr>
              <w:t>Protection of forest woodlands and other vegetation, as well as human lives and game and dec</w:t>
            </w:r>
            <w:r>
              <w:rPr>
                <w:lang w:val="en-US"/>
              </w:rPr>
              <w:t>reasing of the economic damage</w:t>
            </w:r>
          </w:p>
          <w:p w14:paraId="21434BD4" w14:textId="787FE557" w:rsidR="006E5F69" w:rsidRPr="009B5B67" w:rsidRDefault="006E5F69" w:rsidP="006E5F69">
            <w:pPr>
              <w:spacing w:after="0"/>
              <w:rPr>
                <w:rFonts w:cs="Arial"/>
                <w:szCs w:val="20"/>
                <w:lang w:val="en-GB"/>
              </w:rPr>
            </w:pPr>
            <w:r w:rsidRPr="003D44E8">
              <w:rPr>
                <w:lang w:val="en-US"/>
              </w:rPr>
              <w:t>Preserving of biodiversity</w:t>
            </w:r>
          </w:p>
        </w:tc>
      </w:tr>
      <w:tr w:rsidR="006E5F69" w:rsidRPr="000324FE" w14:paraId="15C25A43"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5959DFC2" w14:textId="77777777" w:rsidR="006E5F69" w:rsidRPr="009B5B67" w:rsidRDefault="006E5F69" w:rsidP="006E5F69">
            <w:pPr>
              <w:spacing w:after="0"/>
              <w:rPr>
                <w:rFonts w:cs="Arial"/>
                <w:szCs w:val="20"/>
                <w:lang w:val="en-GB"/>
              </w:rPr>
            </w:pPr>
            <w:r w:rsidRPr="009B5B6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vAlign w:val="center"/>
          </w:tcPr>
          <w:p w14:paraId="36AFDB55" w14:textId="77777777" w:rsidR="006E5F69" w:rsidRDefault="006E5F69" w:rsidP="006E5F69">
            <w:pPr>
              <w:spacing w:after="0"/>
              <w:rPr>
                <w:lang w:val="en-US"/>
              </w:rPr>
            </w:pPr>
            <w:r w:rsidRPr="003D44E8">
              <w:rPr>
                <w:lang w:val="en-US"/>
              </w:rPr>
              <w:t>Tending of the biomass resource</w:t>
            </w:r>
            <w:r>
              <w:rPr>
                <w:lang w:val="en-US"/>
              </w:rPr>
              <w:t>s for fossil fuel substitution</w:t>
            </w:r>
          </w:p>
          <w:p w14:paraId="252C910D" w14:textId="77777777" w:rsidR="006E5F69" w:rsidRDefault="006E5F69" w:rsidP="006E5F69">
            <w:pPr>
              <w:spacing w:after="0"/>
              <w:rPr>
                <w:lang w:val="en-US"/>
              </w:rPr>
            </w:pPr>
            <w:r>
              <w:rPr>
                <w:lang w:val="en-US"/>
              </w:rPr>
              <w:t>Decreased erosion risks</w:t>
            </w:r>
          </w:p>
          <w:p w14:paraId="67E9F755" w14:textId="2F45ED95" w:rsidR="006E5F69" w:rsidRPr="009B5B67" w:rsidRDefault="006E5F69" w:rsidP="006E5F69">
            <w:pPr>
              <w:spacing w:after="0"/>
              <w:rPr>
                <w:rFonts w:cs="Arial"/>
                <w:szCs w:val="20"/>
                <w:lang w:val="en-GB"/>
              </w:rPr>
            </w:pPr>
            <w:r>
              <w:rPr>
                <w:lang w:val="en-US"/>
              </w:rPr>
              <w:t>D</w:t>
            </w:r>
            <w:r w:rsidRPr="003D44E8">
              <w:rPr>
                <w:lang w:val="en-US"/>
              </w:rPr>
              <w:t>ecreased soil and habitat damage</w:t>
            </w:r>
          </w:p>
        </w:tc>
      </w:tr>
      <w:tr w:rsidR="006E5F69" w:rsidRPr="000324FE" w14:paraId="05744B50"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5C0D82C5" w14:textId="77777777" w:rsidR="006E5F69" w:rsidRPr="009B5B67" w:rsidRDefault="006E5F69" w:rsidP="006E5F69">
            <w:pPr>
              <w:spacing w:after="0"/>
              <w:rPr>
                <w:rFonts w:cs="Arial"/>
                <w:szCs w:val="20"/>
                <w:lang w:val="en-GB"/>
              </w:rPr>
            </w:pPr>
            <w:r w:rsidRPr="009B5B6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tcPr>
          <w:p w14:paraId="0D5EB5E2" w14:textId="183196D3" w:rsidR="006E5F69" w:rsidRPr="009B5B67" w:rsidRDefault="00DC7CCA" w:rsidP="006E5F69">
            <w:pPr>
              <w:spacing w:after="0"/>
              <w:rPr>
                <w:rFonts w:cs="Arial"/>
                <w:szCs w:val="20"/>
                <w:lang w:val="en-GB"/>
              </w:rPr>
            </w:pPr>
            <w:r w:rsidRPr="003D44E8">
              <w:rPr>
                <w:color w:val="000000" w:themeColor="text1"/>
                <w:szCs w:val="16"/>
                <w:lang w:val="en-US"/>
              </w:rPr>
              <w:t>No quantified assessment available yet</w:t>
            </w:r>
          </w:p>
        </w:tc>
      </w:tr>
      <w:tr w:rsidR="006E5F69" w:rsidRPr="009B5B67" w14:paraId="120814D3"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5979F5FB" w14:textId="77777777" w:rsidR="006E5F69" w:rsidRPr="009B5B67" w:rsidRDefault="006E5F69" w:rsidP="006E5F69">
            <w:pPr>
              <w:spacing w:after="0"/>
              <w:rPr>
                <w:rFonts w:cs="Arial"/>
                <w:szCs w:val="20"/>
                <w:lang w:val="en-GB"/>
              </w:rPr>
            </w:pPr>
            <w:r w:rsidRPr="009B5B6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tcPr>
          <w:p w14:paraId="36DE87AF" w14:textId="45CF3678" w:rsidR="006E5F69" w:rsidRPr="009B5B67" w:rsidRDefault="006E5F69" w:rsidP="006E5F69">
            <w:pPr>
              <w:spacing w:after="0"/>
              <w:rPr>
                <w:rFonts w:cs="Arial"/>
                <w:szCs w:val="20"/>
                <w:lang w:val="en-GB"/>
              </w:rPr>
            </w:pPr>
          </w:p>
        </w:tc>
      </w:tr>
      <w:tr w:rsidR="006E5F69" w:rsidRPr="009B5B67" w14:paraId="6B4E89B7" w14:textId="77777777" w:rsidTr="00DD580C">
        <w:tc>
          <w:tcPr>
            <w:tcW w:w="4531" w:type="dxa"/>
            <w:tcBorders>
              <w:top w:val="single" w:sz="4" w:space="0" w:color="auto"/>
              <w:left w:val="single" w:sz="4" w:space="0" w:color="auto"/>
              <w:bottom w:val="single" w:sz="4" w:space="0" w:color="auto"/>
              <w:right w:val="single" w:sz="4" w:space="0" w:color="auto"/>
            </w:tcBorders>
            <w:hideMark/>
          </w:tcPr>
          <w:p w14:paraId="5B13AABB" w14:textId="77777777" w:rsidR="006E5F69" w:rsidRPr="009B5B67" w:rsidRDefault="006E5F69" w:rsidP="006E5F69">
            <w:pPr>
              <w:spacing w:after="0"/>
              <w:rPr>
                <w:rFonts w:cs="Arial"/>
                <w:szCs w:val="20"/>
                <w:lang w:val="en-GB"/>
              </w:rPr>
            </w:pPr>
            <w:r w:rsidRPr="009B5B6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tcPr>
          <w:p w14:paraId="1C89BE19" w14:textId="39696725" w:rsidR="006E5F69" w:rsidRPr="009B5B67" w:rsidRDefault="006E5F69" w:rsidP="006E5F69">
            <w:pPr>
              <w:spacing w:after="0"/>
              <w:rPr>
                <w:rFonts w:cs="Arial"/>
                <w:szCs w:val="20"/>
                <w:lang w:val="en-GB"/>
              </w:rPr>
            </w:pPr>
          </w:p>
        </w:tc>
      </w:tr>
    </w:tbl>
    <w:p w14:paraId="43392B35" w14:textId="77777777" w:rsidR="006E5F69" w:rsidRPr="009B5B67" w:rsidRDefault="006E5F69" w:rsidP="00AD3320">
      <w:pPr>
        <w:spacing w:after="0"/>
        <w:rPr>
          <w:rFonts w:cs="Arial"/>
          <w:szCs w:val="20"/>
          <w:lang w:val="en-GB"/>
        </w:rPr>
      </w:pPr>
    </w:p>
    <w:tbl>
      <w:tblPr>
        <w:tblStyle w:val="TableGrid"/>
        <w:tblW w:w="14029" w:type="dxa"/>
        <w:tblCellMar>
          <w:top w:w="57" w:type="dxa"/>
          <w:bottom w:w="57" w:type="dxa"/>
        </w:tblCellMar>
        <w:tblLook w:val="04A0" w:firstRow="1" w:lastRow="0" w:firstColumn="1" w:lastColumn="0" w:noHBand="0" w:noVBand="1"/>
      </w:tblPr>
      <w:tblGrid>
        <w:gridCol w:w="4531"/>
        <w:gridCol w:w="9498"/>
      </w:tblGrid>
      <w:tr w:rsidR="00F21F87" w:rsidRPr="003C2461" w14:paraId="42195627" w14:textId="77777777" w:rsidTr="00790A00">
        <w:trPr>
          <w:trHeight w:val="472"/>
          <w:tblHeader/>
        </w:trPr>
        <w:tc>
          <w:tcPr>
            <w:tcW w:w="453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370E4AA" w14:textId="67B536FA" w:rsidR="00F21F87" w:rsidRPr="00F21F87" w:rsidRDefault="00F21F87" w:rsidP="00790A00">
            <w:pPr>
              <w:spacing w:after="0"/>
              <w:rPr>
                <w:rFonts w:cs="Arial"/>
                <w:b/>
                <w:bCs/>
                <w:szCs w:val="20"/>
                <w:lang w:val="en-GB"/>
              </w:rPr>
            </w:pPr>
            <w:r w:rsidRPr="00F21F87">
              <w:rPr>
                <w:rFonts w:cs="Arial"/>
                <w:b/>
                <w:bCs/>
                <w:szCs w:val="20"/>
                <w:lang w:val="en-GB"/>
              </w:rPr>
              <w:t xml:space="preserve">Mitigation action </w:t>
            </w:r>
            <w:r w:rsidRPr="00F21F87">
              <w:rPr>
                <w:rFonts w:cs="Arial"/>
                <w:b/>
                <w:bCs/>
                <w:szCs w:val="20"/>
                <w:lang w:val="en-GB"/>
              </w:rPr>
              <w:fldChar w:fldCharType="begin"/>
            </w:r>
            <w:r w:rsidRPr="00F21F87">
              <w:rPr>
                <w:rFonts w:cs="Arial"/>
                <w:b/>
                <w:bCs/>
                <w:szCs w:val="20"/>
                <w:lang w:val="en-GB"/>
              </w:rPr>
              <w:instrText xml:space="preserve"> SEQ Mitigation_action \* ARABIC </w:instrText>
            </w:r>
            <w:r w:rsidRPr="00F21F87">
              <w:rPr>
                <w:rFonts w:cs="Arial"/>
                <w:b/>
                <w:bCs/>
                <w:szCs w:val="20"/>
                <w:lang w:val="en-GB"/>
              </w:rPr>
              <w:fldChar w:fldCharType="separate"/>
            </w:r>
            <w:r w:rsidR="008C387B">
              <w:rPr>
                <w:rFonts w:cs="Arial"/>
                <w:b/>
                <w:bCs/>
                <w:noProof/>
                <w:szCs w:val="20"/>
                <w:lang w:val="en-GB"/>
              </w:rPr>
              <w:t>20</w:t>
            </w:r>
            <w:r w:rsidRPr="00F21F87">
              <w:rPr>
                <w:rFonts w:cs="Arial"/>
                <w:b/>
                <w:bCs/>
                <w:szCs w:val="20"/>
                <w:lang w:val="en-GB"/>
              </w:rPr>
              <w:fldChar w:fldCharType="end"/>
            </w:r>
          </w:p>
        </w:tc>
        <w:tc>
          <w:tcPr>
            <w:tcW w:w="949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D013349" w14:textId="0A792AA6" w:rsidR="00F21F87" w:rsidRPr="00F21F87" w:rsidRDefault="00F21F87" w:rsidP="00790A00">
            <w:pPr>
              <w:spacing w:after="0"/>
              <w:rPr>
                <w:rFonts w:cs="Arial"/>
                <w:b/>
                <w:bCs/>
                <w:szCs w:val="20"/>
                <w:lang w:val="en-GB"/>
              </w:rPr>
            </w:pPr>
            <w:r w:rsidRPr="00F21F87">
              <w:rPr>
                <w:rFonts w:cs="Arial"/>
                <w:b/>
                <w:bCs/>
                <w:szCs w:val="20"/>
                <w:lang w:val="en-GB"/>
              </w:rPr>
              <w:t>Waste sector</w:t>
            </w:r>
          </w:p>
        </w:tc>
      </w:tr>
      <w:tr w:rsidR="00F21F87" w:rsidRPr="003C2461" w14:paraId="68A49130"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610AFFD1" w14:textId="77777777" w:rsidR="00F21F87" w:rsidRPr="00F21F87" w:rsidRDefault="00F21F87" w:rsidP="00790A00">
            <w:pPr>
              <w:spacing w:after="0"/>
              <w:rPr>
                <w:rFonts w:cs="Arial"/>
                <w:szCs w:val="20"/>
                <w:lang w:val="en-GB"/>
              </w:rPr>
            </w:pPr>
            <w:r w:rsidRPr="00F21F87">
              <w:rPr>
                <w:rFonts w:cs="Arial"/>
                <w:szCs w:val="20"/>
                <w:lang w:val="en-GB"/>
              </w:rPr>
              <w:t>Description</w:t>
            </w:r>
          </w:p>
        </w:tc>
        <w:tc>
          <w:tcPr>
            <w:tcW w:w="9498" w:type="dxa"/>
            <w:tcBorders>
              <w:top w:val="single" w:sz="4" w:space="0" w:color="auto"/>
              <w:left w:val="single" w:sz="4" w:space="0" w:color="auto"/>
              <w:bottom w:val="single" w:sz="4" w:space="0" w:color="auto"/>
              <w:right w:val="single" w:sz="4" w:space="0" w:color="auto"/>
            </w:tcBorders>
            <w:hideMark/>
          </w:tcPr>
          <w:p w14:paraId="7E04D31B" w14:textId="77777777" w:rsidR="00F21F87" w:rsidRPr="00F21F87" w:rsidRDefault="00F21F87" w:rsidP="00790A00">
            <w:pPr>
              <w:spacing w:after="0"/>
              <w:rPr>
                <w:szCs w:val="18"/>
                <w:lang w:val="en-GB"/>
              </w:rPr>
            </w:pPr>
            <w:r w:rsidRPr="00F21F87">
              <w:rPr>
                <w:szCs w:val="18"/>
                <w:lang w:val="en-GB"/>
              </w:rPr>
              <w:t>No specific measures included in this action plan.</w:t>
            </w:r>
          </w:p>
          <w:p w14:paraId="1A23BF60" w14:textId="77777777" w:rsidR="00F21F87" w:rsidRPr="00F21F87" w:rsidRDefault="00F21F87" w:rsidP="00790A00">
            <w:pPr>
              <w:spacing w:after="0"/>
              <w:rPr>
                <w:rFonts w:cs="Arial"/>
                <w:szCs w:val="20"/>
                <w:lang w:val="en-GB"/>
              </w:rPr>
            </w:pPr>
            <w:r w:rsidRPr="00F21F87">
              <w:rPr>
                <w:rFonts w:cs="Arial"/>
                <w:szCs w:val="20"/>
                <w:lang w:val="en-GB"/>
              </w:rPr>
              <w:t>Included elsewhere (IE). All measures related to waste sector are covered through Waste sector directive specific implementation plans (DSIP)</w:t>
            </w:r>
          </w:p>
          <w:p w14:paraId="6871966C" w14:textId="77777777" w:rsidR="00F21F87" w:rsidRPr="00F21F87" w:rsidRDefault="00F21F87" w:rsidP="00F21F87">
            <w:pPr>
              <w:pStyle w:val="ListParagraph"/>
              <w:numPr>
                <w:ilvl w:val="0"/>
                <w:numId w:val="47"/>
              </w:numPr>
              <w:spacing w:after="0"/>
              <w:rPr>
                <w:rFonts w:cs="Arial"/>
                <w:szCs w:val="20"/>
                <w:lang w:val="en-GB"/>
              </w:rPr>
            </w:pPr>
            <w:r w:rsidRPr="00F21F87">
              <w:rPr>
                <w:rFonts w:cs="Arial"/>
                <w:szCs w:val="20"/>
                <w:lang w:val="en-GB"/>
              </w:rPr>
              <w:t xml:space="preserve">Support schemes for production of RES II biofuels (from wastes, residues, non-food cellulosic material, and </w:t>
            </w:r>
            <w:proofErr w:type="spellStart"/>
            <w:r w:rsidRPr="00F21F87">
              <w:rPr>
                <w:rFonts w:cs="Arial"/>
                <w:szCs w:val="20"/>
                <w:lang w:val="en-GB"/>
              </w:rPr>
              <w:t>ligno</w:t>
            </w:r>
            <w:proofErr w:type="spellEnd"/>
            <w:r w:rsidRPr="00F21F87">
              <w:rPr>
                <w:rFonts w:cs="Arial"/>
                <w:szCs w:val="20"/>
                <w:lang w:val="en-GB"/>
              </w:rPr>
              <w:t xml:space="preserve">-cellulosic material) does not exist, thus there is almost no production. Therefore, it is necessary to prepare Directive specific implementation plan for transposition and implementation of Fuel Quality Directive and implement updated RES directive </w:t>
            </w:r>
            <w:proofErr w:type="gramStart"/>
            <w:r w:rsidRPr="00F21F87">
              <w:rPr>
                <w:rFonts w:cs="Arial"/>
                <w:szCs w:val="20"/>
                <w:lang w:val="en-GB"/>
              </w:rPr>
              <w:t>in order to</w:t>
            </w:r>
            <w:proofErr w:type="gramEnd"/>
            <w:r w:rsidRPr="00F21F87">
              <w:rPr>
                <w:rFonts w:cs="Arial"/>
                <w:szCs w:val="20"/>
                <w:lang w:val="en-GB"/>
              </w:rPr>
              <w:t xml:space="preserve"> allow 2nd generation of biofuels to penetrate into Serbia’s transport fuel market and set up of support schemes for production </w:t>
            </w:r>
            <w:r w:rsidRPr="00F21F87">
              <w:rPr>
                <w:rFonts w:cs="Arial"/>
                <w:szCs w:val="20"/>
                <w:lang w:val="en-GB"/>
              </w:rPr>
              <w:lastRenderedPageBreak/>
              <w:t xml:space="preserve">of biofuels (from wastes, residues, non-food cellulosic material, and </w:t>
            </w:r>
            <w:proofErr w:type="spellStart"/>
            <w:r w:rsidRPr="00F21F87">
              <w:rPr>
                <w:rFonts w:cs="Arial"/>
                <w:szCs w:val="20"/>
                <w:lang w:val="en-GB"/>
              </w:rPr>
              <w:t>ligno</w:t>
            </w:r>
            <w:proofErr w:type="spellEnd"/>
            <w:r w:rsidRPr="00F21F87">
              <w:rPr>
                <w:rFonts w:cs="Arial"/>
                <w:szCs w:val="20"/>
                <w:lang w:val="en-GB"/>
              </w:rPr>
              <w:t xml:space="preserve">-cellulosic material). </w:t>
            </w:r>
            <w:r w:rsidRPr="00F21F87">
              <w:rPr>
                <w:rFonts w:cs="Arial"/>
                <w:szCs w:val="20"/>
                <w:lang w:val="en-GB"/>
              </w:rPr>
              <w:br/>
              <w:t>(See Mitigation Action 3, 4, 7 and 8)</w:t>
            </w:r>
          </w:p>
        </w:tc>
      </w:tr>
      <w:tr w:rsidR="00F21F87" w:rsidRPr="000324FE" w14:paraId="60D20258"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0C62C41E" w14:textId="77777777" w:rsidR="00F21F87" w:rsidRPr="00F21F87" w:rsidRDefault="00F21F87" w:rsidP="00790A00">
            <w:pPr>
              <w:spacing w:after="0"/>
              <w:rPr>
                <w:rFonts w:cs="Arial"/>
                <w:szCs w:val="20"/>
                <w:lang w:val="en-GB"/>
              </w:rPr>
            </w:pPr>
            <w:r w:rsidRPr="00F21F87">
              <w:rPr>
                <w:rFonts w:cs="Arial"/>
                <w:szCs w:val="20"/>
                <w:lang w:val="en-GB"/>
              </w:rPr>
              <w:lastRenderedPageBreak/>
              <w:t>Indicators</w:t>
            </w:r>
          </w:p>
        </w:tc>
        <w:tc>
          <w:tcPr>
            <w:tcW w:w="9498" w:type="dxa"/>
            <w:tcBorders>
              <w:top w:val="single" w:sz="4" w:space="0" w:color="auto"/>
              <w:left w:val="single" w:sz="4" w:space="0" w:color="auto"/>
              <w:bottom w:val="single" w:sz="4" w:space="0" w:color="auto"/>
              <w:right w:val="single" w:sz="4" w:space="0" w:color="auto"/>
            </w:tcBorders>
            <w:hideMark/>
          </w:tcPr>
          <w:p w14:paraId="440A7908" w14:textId="77777777" w:rsidR="00F21F87" w:rsidRPr="00F21F87" w:rsidRDefault="00F21F87" w:rsidP="00790A00">
            <w:pPr>
              <w:spacing w:after="0"/>
              <w:rPr>
                <w:rFonts w:cs="Arial"/>
                <w:szCs w:val="20"/>
                <w:lang w:val="en-GB"/>
              </w:rPr>
            </w:pPr>
            <w:r w:rsidRPr="00F21F87">
              <w:rPr>
                <w:rFonts w:cs="Arial"/>
                <w:szCs w:val="20"/>
                <w:lang w:val="en-GB"/>
              </w:rPr>
              <w:t xml:space="preserve">Reduce GHG emissions in agriculture by 13% </w:t>
            </w:r>
          </w:p>
        </w:tc>
      </w:tr>
      <w:tr w:rsidR="00F21F87" w:rsidRPr="000324FE" w14:paraId="4A73FE07" w14:textId="77777777" w:rsidTr="00790A00">
        <w:trPr>
          <w:trHeight w:val="215"/>
        </w:trPr>
        <w:tc>
          <w:tcPr>
            <w:tcW w:w="4531" w:type="dxa"/>
            <w:tcBorders>
              <w:top w:val="single" w:sz="4" w:space="0" w:color="auto"/>
              <w:left w:val="single" w:sz="4" w:space="0" w:color="auto"/>
              <w:bottom w:val="single" w:sz="4" w:space="0" w:color="auto"/>
              <w:right w:val="single" w:sz="4" w:space="0" w:color="auto"/>
            </w:tcBorders>
            <w:hideMark/>
          </w:tcPr>
          <w:p w14:paraId="73B0CD05" w14:textId="77777777" w:rsidR="00F21F87" w:rsidRPr="00F21F87" w:rsidRDefault="00F21F87" w:rsidP="00790A00">
            <w:pPr>
              <w:spacing w:after="0"/>
              <w:rPr>
                <w:rFonts w:cs="Arial"/>
                <w:szCs w:val="20"/>
                <w:lang w:val="en-GB"/>
              </w:rPr>
            </w:pPr>
            <w:r w:rsidRPr="00F21F87">
              <w:rPr>
                <w:rFonts w:cs="Arial"/>
                <w:szCs w:val="20"/>
                <w:lang w:val="en-GB"/>
              </w:rPr>
              <w:t>Type of instrument</w:t>
            </w:r>
          </w:p>
        </w:tc>
        <w:tc>
          <w:tcPr>
            <w:tcW w:w="9498" w:type="dxa"/>
            <w:tcBorders>
              <w:top w:val="single" w:sz="4" w:space="0" w:color="auto"/>
              <w:left w:val="single" w:sz="4" w:space="0" w:color="auto"/>
              <w:bottom w:val="single" w:sz="4" w:space="0" w:color="auto"/>
              <w:right w:val="single" w:sz="4" w:space="0" w:color="auto"/>
            </w:tcBorders>
            <w:hideMark/>
          </w:tcPr>
          <w:p w14:paraId="60B63DF6" w14:textId="77777777" w:rsidR="00F21F87" w:rsidRPr="00F21F87" w:rsidRDefault="00F21F87" w:rsidP="00790A00">
            <w:pPr>
              <w:spacing w:after="0"/>
              <w:rPr>
                <w:rFonts w:cs="Arial"/>
                <w:szCs w:val="20"/>
                <w:lang w:val="en-GB"/>
              </w:rPr>
            </w:pPr>
            <w:r w:rsidRPr="00F21F87">
              <w:rPr>
                <w:rFonts w:cs="Arial"/>
                <w:szCs w:val="20"/>
                <w:lang w:val="en-GB"/>
              </w:rPr>
              <w:t>Incentive; Informational-Educational; organizational-governance-institutional</w:t>
            </w:r>
          </w:p>
        </w:tc>
      </w:tr>
      <w:tr w:rsidR="00F21F87" w:rsidRPr="003C2461" w14:paraId="39EDB556"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5EE52F74" w14:textId="77777777" w:rsidR="00F21F87" w:rsidRPr="00F21F87" w:rsidRDefault="00F21F87" w:rsidP="00790A00">
            <w:pPr>
              <w:spacing w:after="0"/>
              <w:rPr>
                <w:rFonts w:cs="Arial"/>
                <w:szCs w:val="20"/>
                <w:lang w:val="en-GB"/>
              </w:rPr>
            </w:pPr>
            <w:r w:rsidRPr="00F21F87">
              <w:rPr>
                <w:rFonts w:cs="Arial"/>
                <w:szCs w:val="20"/>
                <w:lang w:val="en-GB"/>
              </w:rPr>
              <w:t>Status</w:t>
            </w:r>
          </w:p>
        </w:tc>
        <w:tc>
          <w:tcPr>
            <w:tcW w:w="9498" w:type="dxa"/>
            <w:tcBorders>
              <w:top w:val="single" w:sz="4" w:space="0" w:color="auto"/>
              <w:left w:val="single" w:sz="4" w:space="0" w:color="auto"/>
              <w:bottom w:val="single" w:sz="4" w:space="0" w:color="auto"/>
              <w:right w:val="single" w:sz="4" w:space="0" w:color="auto"/>
            </w:tcBorders>
            <w:hideMark/>
          </w:tcPr>
          <w:p w14:paraId="195A57F9" w14:textId="77777777" w:rsidR="00F21F87" w:rsidRPr="00F21F87" w:rsidRDefault="00F21F87" w:rsidP="00790A00">
            <w:pPr>
              <w:spacing w:after="0"/>
              <w:rPr>
                <w:rFonts w:cs="Arial"/>
                <w:szCs w:val="20"/>
                <w:lang w:val="en-GB"/>
              </w:rPr>
            </w:pPr>
            <w:r w:rsidRPr="00F21F87">
              <w:rPr>
                <w:rFonts w:cs="Arial"/>
                <w:szCs w:val="20"/>
                <w:lang w:val="en-GB"/>
              </w:rPr>
              <w:t>Planned</w:t>
            </w:r>
          </w:p>
        </w:tc>
      </w:tr>
      <w:tr w:rsidR="00F21F87" w:rsidRPr="003C2461" w14:paraId="291ABAE6"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6F5281D3" w14:textId="77777777" w:rsidR="00F21F87" w:rsidRPr="00F21F87" w:rsidRDefault="00F21F87" w:rsidP="00790A00">
            <w:pPr>
              <w:spacing w:after="0"/>
              <w:rPr>
                <w:rFonts w:cs="Arial"/>
                <w:szCs w:val="20"/>
                <w:lang w:val="en-GB"/>
              </w:rPr>
            </w:pPr>
            <w:r w:rsidRPr="00F21F87">
              <w:rPr>
                <w:rFonts w:cs="Arial"/>
                <w:szCs w:val="20"/>
                <w:lang w:val="en-GB"/>
              </w:rPr>
              <w:t>Sector(s) affected</w:t>
            </w:r>
          </w:p>
        </w:tc>
        <w:tc>
          <w:tcPr>
            <w:tcW w:w="9498" w:type="dxa"/>
            <w:tcBorders>
              <w:top w:val="single" w:sz="4" w:space="0" w:color="auto"/>
              <w:left w:val="single" w:sz="4" w:space="0" w:color="auto"/>
              <w:bottom w:val="single" w:sz="4" w:space="0" w:color="auto"/>
              <w:right w:val="single" w:sz="4" w:space="0" w:color="auto"/>
            </w:tcBorders>
            <w:hideMark/>
          </w:tcPr>
          <w:p w14:paraId="4B4B76D6" w14:textId="77777777" w:rsidR="00F21F87" w:rsidRPr="00F21F87" w:rsidRDefault="00F21F87" w:rsidP="00790A00">
            <w:pPr>
              <w:spacing w:after="0"/>
              <w:rPr>
                <w:rFonts w:cs="Arial"/>
                <w:szCs w:val="20"/>
                <w:lang w:val="en-GB"/>
              </w:rPr>
            </w:pPr>
            <w:r w:rsidRPr="00F21F87">
              <w:rPr>
                <w:rFonts w:cs="Arial"/>
                <w:szCs w:val="20"/>
                <w:lang w:val="en-GB"/>
              </w:rPr>
              <w:t>Waste</w:t>
            </w:r>
          </w:p>
        </w:tc>
      </w:tr>
      <w:tr w:rsidR="00F21F87" w:rsidRPr="003C2461" w14:paraId="2C912BC5"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0180C427" w14:textId="77777777" w:rsidR="00F21F87" w:rsidRPr="00F21F87" w:rsidRDefault="00F21F87" w:rsidP="00790A00">
            <w:pPr>
              <w:spacing w:after="0"/>
              <w:rPr>
                <w:rFonts w:cs="Arial"/>
                <w:szCs w:val="20"/>
                <w:lang w:val="en-GB"/>
              </w:rPr>
            </w:pPr>
            <w:r w:rsidRPr="00F21F87">
              <w:rPr>
                <w:rFonts w:cs="Arial"/>
                <w:szCs w:val="20"/>
                <w:lang w:val="en-GB"/>
              </w:rPr>
              <w:t>Gases affected</w:t>
            </w:r>
          </w:p>
        </w:tc>
        <w:tc>
          <w:tcPr>
            <w:tcW w:w="9498" w:type="dxa"/>
            <w:tcBorders>
              <w:top w:val="single" w:sz="4" w:space="0" w:color="auto"/>
              <w:left w:val="single" w:sz="4" w:space="0" w:color="auto"/>
              <w:bottom w:val="single" w:sz="4" w:space="0" w:color="auto"/>
              <w:right w:val="single" w:sz="4" w:space="0" w:color="auto"/>
            </w:tcBorders>
            <w:hideMark/>
          </w:tcPr>
          <w:p w14:paraId="43F1C14B" w14:textId="77777777" w:rsidR="00F21F87" w:rsidRPr="00F21F87" w:rsidRDefault="00F21F87" w:rsidP="00790A00">
            <w:pPr>
              <w:spacing w:after="0"/>
              <w:rPr>
                <w:rFonts w:cs="Arial"/>
                <w:szCs w:val="20"/>
                <w:lang w:val="en-GB"/>
              </w:rPr>
            </w:pPr>
            <w:r w:rsidRPr="00F21F87">
              <w:rPr>
                <w:rFonts w:cs="Arial"/>
                <w:szCs w:val="20"/>
                <w:lang w:val="en-GB"/>
              </w:rPr>
              <w:t>CH4</w:t>
            </w:r>
          </w:p>
        </w:tc>
      </w:tr>
      <w:tr w:rsidR="00F21F87" w:rsidRPr="003C2461" w14:paraId="15D4F2CC"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5848FB7B" w14:textId="77777777" w:rsidR="00F21F87" w:rsidRPr="00F21F87" w:rsidRDefault="00F21F87" w:rsidP="00790A00">
            <w:pPr>
              <w:spacing w:after="0"/>
              <w:rPr>
                <w:rFonts w:cs="Arial"/>
                <w:szCs w:val="20"/>
                <w:lang w:val="en-GB"/>
              </w:rPr>
            </w:pPr>
            <w:r w:rsidRPr="00F21F87">
              <w:rPr>
                <w:rFonts w:cs="Arial"/>
                <w:szCs w:val="20"/>
                <w:lang w:val="en-GB"/>
              </w:rPr>
              <w:t>Start year of implementation</w:t>
            </w:r>
          </w:p>
        </w:tc>
        <w:tc>
          <w:tcPr>
            <w:tcW w:w="9498" w:type="dxa"/>
            <w:tcBorders>
              <w:top w:val="single" w:sz="4" w:space="0" w:color="auto"/>
              <w:left w:val="single" w:sz="4" w:space="0" w:color="auto"/>
              <w:bottom w:val="single" w:sz="4" w:space="0" w:color="auto"/>
              <w:right w:val="single" w:sz="4" w:space="0" w:color="auto"/>
            </w:tcBorders>
            <w:hideMark/>
          </w:tcPr>
          <w:p w14:paraId="02E49280" w14:textId="77777777" w:rsidR="00F21F87" w:rsidRPr="00F21F87" w:rsidRDefault="00F21F87" w:rsidP="00790A00">
            <w:pPr>
              <w:spacing w:after="0"/>
              <w:rPr>
                <w:rFonts w:cs="Arial"/>
                <w:szCs w:val="20"/>
                <w:lang w:val="en-GB"/>
              </w:rPr>
            </w:pPr>
            <w:r w:rsidRPr="00F21F87">
              <w:rPr>
                <w:rFonts w:cs="Arial"/>
                <w:szCs w:val="20"/>
                <w:lang w:val="en-GB"/>
              </w:rPr>
              <w:t>2020</w:t>
            </w:r>
          </w:p>
        </w:tc>
      </w:tr>
      <w:tr w:rsidR="00F21F87" w:rsidRPr="000324FE" w14:paraId="0252223C"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25733BBA" w14:textId="77777777" w:rsidR="00F21F87" w:rsidRPr="00F21F87" w:rsidRDefault="00F21F87" w:rsidP="00790A00">
            <w:pPr>
              <w:spacing w:after="0"/>
              <w:rPr>
                <w:rFonts w:cs="Arial"/>
                <w:szCs w:val="20"/>
                <w:lang w:val="en-GB"/>
              </w:rPr>
            </w:pPr>
            <w:r w:rsidRPr="00F21F87">
              <w:rPr>
                <w:rFonts w:cs="Arial"/>
                <w:szCs w:val="20"/>
                <w:lang w:val="en-GB"/>
              </w:rPr>
              <w:t>Implementing entity or entities</w:t>
            </w:r>
          </w:p>
        </w:tc>
        <w:tc>
          <w:tcPr>
            <w:tcW w:w="9498" w:type="dxa"/>
            <w:tcBorders>
              <w:top w:val="single" w:sz="4" w:space="0" w:color="auto"/>
              <w:left w:val="single" w:sz="4" w:space="0" w:color="auto"/>
              <w:bottom w:val="single" w:sz="4" w:space="0" w:color="auto"/>
              <w:right w:val="single" w:sz="4" w:space="0" w:color="auto"/>
            </w:tcBorders>
            <w:hideMark/>
          </w:tcPr>
          <w:p w14:paraId="50C72137" w14:textId="77777777" w:rsidR="00F21F87" w:rsidRPr="00F21F87" w:rsidRDefault="00F21F87" w:rsidP="00790A00">
            <w:pPr>
              <w:spacing w:after="0"/>
              <w:rPr>
                <w:rFonts w:cs="Arial"/>
                <w:szCs w:val="20"/>
                <w:lang w:val="en-GB"/>
              </w:rPr>
            </w:pPr>
            <w:r w:rsidRPr="00F21F87">
              <w:rPr>
                <w:rFonts w:cs="Arial"/>
                <w:szCs w:val="20"/>
                <w:lang w:val="en-GB"/>
              </w:rPr>
              <w:t>Ministry of Agriculture, Forestry and Water Management, Directorate for Agrarian payments, Veterinary Directorate, Chamber of Commerce of Republic of Serbia, Research institutions</w:t>
            </w:r>
          </w:p>
        </w:tc>
      </w:tr>
      <w:tr w:rsidR="00F21F87" w:rsidRPr="003C2461" w14:paraId="517DDF00"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23F816D0" w14:textId="77777777" w:rsidR="00F21F87" w:rsidRPr="00F21F87" w:rsidRDefault="00F21F87" w:rsidP="00790A00">
            <w:pPr>
              <w:spacing w:after="0"/>
              <w:rPr>
                <w:rFonts w:cs="Arial"/>
                <w:szCs w:val="20"/>
                <w:lang w:val="en-GB"/>
              </w:rPr>
            </w:pPr>
            <w:r w:rsidRPr="00F21F87">
              <w:rPr>
                <w:rFonts w:cs="Arial"/>
                <w:szCs w:val="20"/>
                <w:lang w:val="en-GB"/>
              </w:rPr>
              <w:t>Costs</w:t>
            </w:r>
          </w:p>
        </w:tc>
        <w:tc>
          <w:tcPr>
            <w:tcW w:w="9498" w:type="dxa"/>
            <w:tcBorders>
              <w:top w:val="single" w:sz="4" w:space="0" w:color="auto"/>
              <w:left w:val="single" w:sz="4" w:space="0" w:color="auto"/>
              <w:bottom w:val="single" w:sz="4" w:space="0" w:color="auto"/>
              <w:right w:val="single" w:sz="4" w:space="0" w:color="auto"/>
            </w:tcBorders>
            <w:hideMark/>
          </w:tcPr>
          <w:p w14:paraId="7F8FFA2F" w14:textId="77777777" w:rsidR="00F21F87" w:rsidRPr="00F21F87" w:rsidRDefault="00F21F87" w:rsidP="00790A00">
            <w:pPr>
              <w:spacing w:after="0"/>
              <w:rPr>
                <w:rFonts w:cs="Arial"/>
                <w:szCs w:val="20"/>
                <w:lang w:val="en-GB"/>
              </w:rPr>
            </w:pPr>
            <w:r w:rsidRPr="00F21F87">
              <w:rPr>
                <w:rFonts w:cs="Arial"/>
                <w:szCs w:val="20"/>
                <w:lang w:val="en-GB"/>
              </w:rPr>
              <w:t>-</w:t>
            </w:r>
          </w:p>
        </w:tc>
      </w:tr>
      <w:tr w:rsidR="00F21F87" w:rsidRPr="000324FE" w14:paraId="206F0E6F"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64E0DBA3" w14:textId="77777777" w:rsidR="00F21F87" w:rsidRPr="00F21F87" w:rsidRDefault="00F21F87" w:rsidP="00790A00">
            <w:pPr>
              <w:spacing w:after="0"/>
              <w:rPr>
                <w:rFonts w:cs="Arial"/>
                <w:szCs w:val="20"/>
                <w:lang w:val="en-GB"/>
              </w:rPr>
            </w:pPr>
            <w:r w:rsidRPr="00F21F87">
              <w:rPr>
                <w:rFonts w:cs="Arial"/>
                <w:szCs w:val="20"/>
                <w:lang w:val="en-GB"/>
              </w:rPr>
              <w:t>Non-GHG mitigation co-benefits</w:t>
            </w:r>
          </w:p>
        </w:tc>
        <w:tc>
          <w:tcPr>
            <w:tcW w:w="9498" w:type="dxa"/>
            <w:tcBorders>
              <w:top w:val="single" w:sz="4" w:space="0" w:color="auto"/>
              <w:left w:val="single" w:sz="4" w:space="0" w:color="auto"/>
              <w:bottom w:val="single" w:sz="4" w:space="0" w:color="auto"/>
              <w:right w:val="single" w:sz="4" w:space="0" w:color="auto"/>
            </w:tcBorders>
            <w:hideMark/>
          </w:tcPr>
          <w:p w14:paraId="2156F7D9" w14:textId="77777777" w:rsidR="00F21F87" w:rsidRPr="00F21F87" w:rsidRDefault="00F21F87" w:rsidP="00790A00">
            <w:pPr>
              <w:spacing w:after="0"/>
              <w:rPr>
                <w:rFonts w:cs="Arial"/>
                <w:szCs w:val="20"/>
                <w:lang w:val="en-GB"/>
              </w:rPr>
            </w:pPr>
            <w:r w:rsidRPr="00F21F87">
              <w:rPr>
                <w:rFonts w:cs="Arial"/>
                <w:szCs w:val="20"/>
                <w:lang w:val="en-GB" w:eastAsia="de-DE"/>
              </w:rPr>
              <w:t>Reduces Short-Lived Climate-forcing Pollutants (SLCPs)</w:t>
            </w:r>
          </w:p>
        </w:tc>
      </w:tr>
      <w:tr w:rsidR="00F21F87" w:rsidRPr="000324FE" w14:paraId="0E741D8C"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5F89808E" w14:textId="77777777" w:rsidR="00F21F87" w:rsidRPr="00F21F87" w:rsidRDefault="00F21F87" w:rsidP="00790A00">
            <w:pPr>
              <w:spacing w:after="0"/>
              <w:rPr>
                <w:rFonts w:cs="Arial"/>
                <w:szCs w:val="20"/>
                <w:lang w:val="en-GB"/>
              </w:rPr>
            </w:pPr>
            <w:r w:rsidRPr="00F21F87">
              <w:rPr>
                <w:rFonts w:cs="Arial"/>
                <w:szCs w:val="20"/>
                <w:lang w:val="en-GB"/>
              </w:rPr>
              <w:t>Information on interactions of mitigation actions</w:t>
            </w:r>
          </w:p>
        </w:tc>
        <w:tc>
          <w:tcPr>
            <w:tcW w:w="9498" w:type="dxa"/>
            <w:tcBorders>
              <w:top w:val="single" w:sz="4" w:space="0" w:color="auto"/>
              <w:left w:val="single" w:sz="4" w:space="0" w:color="auto"/>
              <w:bottom w:val="single" w:sz="4" w:space="0" w:color="auto"/>
              <w:right w:val="single" w:sz="4" w:space="0" w:color="auto"/>
            </w:tcBorders>
            <w:hideMark/>
          </w:tcPr>
          <w:p w14:paraId="3915A552" w14:textId="77777777" w:rsidR="00F21F87" w:rsidRPr="00F21F87" w:rsidRDefault="00F21F87" w:rsidP="00790A00">
            <w:pPr>
              <w:spacing w:after="0"/>
              <w:rPr>
                <w:rFonts w:cs="Arial"/>
                <w:szCs w:val="20"/>
                <w:lang w:val="en-GB"/>
              </w:rPr>
            </w:pPr>
            <w:r w:rsidRPr="00F21F87">
              <w:rPr>
                <w:rFonts w:cs="Arial"/>
                <w:szCs w:val="20"/>
                <w:lang w:val="en-GB"/>
              </w:rPr>
              <w:t xml:space="preserve">Mitigation Action 3, Mitigation Action 4, Mitigation Action </w:t>
            </w:r>
            <w:proofErr w:type="gramStart"/>
            <w:r w:rsidRPr="00F21F87">
              <w:rPr>
                <w:rFonts w:cs="Arial"/>
                <w:szCs w:val="20"/>
                <w:lang w:val="en-GB"/>
              </w:rPr>
              <w:t>7</w:t>
            </w:r>
            <w:proofErr w:type="gramEnd"/>
            <w:r w:rsidRPr="00F21F87">
              <w:rPr>
                <w:rFonts w:cs="Arial"/>
                <w:szCs w:val="20"/>
                <w:lang w:val="en-GB"/>
              </w:rPr>
              <w:t xml:space="preserve"> and Mitigation Action 8</w:t>
            </w:r>
          </w:p>
        </w:tc>
      </w:tr>
      <w:tr w:rsidR="00F21F87" w:rsidRPr="003C2461" w14:paraId="63BBB2DF"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179E46C6" w14:textId="77777777" w:rsidR="00F21F87" w:rsidRPr="00F21F87" w:rsidRDefault="00F21F87" w:rsidP="00790A00">
            <w:pPr>
              <w:spacing w:after="0"/>
              <w:rPr>
                <w:rFonts w:cs="Arial"/>
                <w:szCs w:val="20"/>
                <w:lang w:val="en-GB"/>
              </w:rPr>
            </w:pPr>
            <w:r w:rsidRPr="00F21F87">
              <w:rPr>
                <w:rFonts w:cs="Arial"/>
                <w:szCs w:val="20"/>
                <w:lang w:val="en-GB"/>
              </w:rPr>
              <w:t>GHG emission reductions (in 2030 (single year) compared to WOM</w:t>
            </w:r>
          </w:p>
        </w:tc>
        <w:tc>
          <w:tcPr>
            <w:tcW w:w="9498" w:type="dxa"/>
            <w:tcBorders>
              <w:top w:val="single" w:sz="4" w:space="0" w:color="auto"/>
              <w:left w:val="single" w:sz="4" w:space="0" w:color="auto"/>
              <w:bottom w:val="single" w:sz="4" w:space="0" w:color="auto"/>
              <w:right w:val="single" w:sz="4" w:space="0" w:color="auto"/>
            </w:tcBorders>
            <w:hideMark/>
          </w:tcPr>
          <w:p w14:paraId="2E0DD546" w14:textId="77777777" w:rsidR="00F21F87" w:rsidRPr="00F21F87" w:rsidRDefault="00F21F87" w:rsidP="00790A00">
            <w:pPr>
              <w:spacing w:after="0"/>
              <w:rPr>
                <w:rFonts w:cs="Arial"/>
                <w:szCs w:val="20"/>
                <w:lang w:val="en-GB"/>
              </w:rPr>
            </w:pPr>
            <w:r w:rsidRPr="00F21F87">
              <w:rPr>
                <w:rFonts w:cs="Arial"/>
                <w:szCs w:val="20"/>
                <w:lang w:val="en-GB"/>
              </w:rPr>
              <w:t>-</w:t>
            </w:r>
          </w:p>
        </w:tc>
      </w:tr>
      <w:tr w:rsidR="00F21F87" w:rsidRPr="003C2461" w14:paraId="20362E5A"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32CA0A0D" w14:textId="77777777" w:rsidR="00F21F87" w:rsidRPr="00F21F87" w:rsidRDefault="00F21F87" w:rsidP="00790A00">
            <w:pPr>
              <w:spacing w:after="0"/>
              <w:rPr>
                <w:rFonts w:cs="Arial"/>
                <w:szCs w:val="20"/>
                <w:lang w:val="en-GB"/>
              </w:rPr>
            </w:pPr>
            <w:r w:rsidRPr="00F21F87">
              <w:rPr>
                <w:rFonts w:cs="Arial"/>
                <w:szCs w:val="20"/>
                <w:lang w:val="en-GB"/>
              </w:rPr>
              <w:t>Target year or period</w:t>
            </w:r>
          </w:p>
        </w:tc>
        <w:tc>
          <w:tcPr>
            <w:tcW w:w="9498" w:type="dxa"/>
            <w:tcBorders>
              <w:top w:val="single" w:sz="4" w:space="0" w:color="auto"/>
              <w:left w:val="single" w:sz="4" w:space="0" w:color="auto"/>
              <w:bottom w:val="single" w:sz="4" w:space="0" w:color="auto"/>
              <w:right w:val="single" w:sz="4" w:space="0" w:color="auto"/>
            </w:tcBorders>
            <w:hideMark/>
          </w:tcPr>
          <w:p w14:paraId="0BF063ED" w14:textId="77777777" w:rsidR="00F21F87" w:rsidRPr="00F21F87" w:rsidRDefault="00F21F87" w:rsidP="00790A00">
            <w:pPr>
              <w:spacing w:after="0"/>
              <w:rPr>
                <w:rFonts w:cs="Arial"/>
                <w:szCs w:val="20"/>
                <w:lang w:val="en-GB"/>
              </w:rPr>
            </w:pPr>
            <w:r w:rsidRPr="00F21F87">
              <w:rPr>
                <w:rFonts w:cs="Arial"/>
                <w:szCs w:val="20"/>
                <w:lang w:val="en-GB"/>
              </w:rPr>
              <w:t>2030</w:t>
            </w:r>
          </w:p>
        </w:tc>
      </w:tr>
      <w:tr w:rsidR="00F21F87" w:rsidRPr="009B5B67" w14:paraId="08E30BDE" w14:textId="77777777" w:rsidTr="00790A00">
        <w:tc>
          <w:tcPr>
            <w:tcW w:w="4531" w:type="dxa"/>
            <w:tcBorders>
              <w:top w:val="single" w:sz="4" w:space="0" w:color="auto"/>
              <w:left w:val="single" w:sz="4" w:space="0" w:color="auto"/>
              <w:bottom w:val="single" w:sz="4" w:space="0" w:color="auto"/>
              <w:right w:val="single" w:sz="4" w:space="0" w:color="auto"/>
            </w:tcBorders>
            <w:hideMark/>
          </w:tcPr>
          <w:p w14:paraId="599CEF76" w14:textId="77777777" w:rsidR="00F21F87" w:rsidRPr="00F21F87" w:rsidRDefault="00F21F87" w:rsidP="00790A00">
            <w:pPr>
              <w:spacing w:after="0"/>
              <w:rPr>
                <w:rFonts w:cs="Arial"/>
                <w:szCs w:val="20"/>
                <w:lang w:val="en-GB"/>
              </w:rPr>
            </w:pPr>
            <w:r w:rsidRPr="00F21F87">
              <w:rPr>
                <w:rFonts w:cs="Arial"/>
                <w:szCs w:val="20"/>
                <w:lang w:val="en-GB"/>
              </w:rPr>
              <w:t>Other year</w:t>
            </w:r>
          </w:p>
        </w:tc>
        <w:tc>
          <w:tcPr>
            <w:tcW w:w="9498" w:type="dxa"/>
            <w:tcBorders>
              <w:top w:val="single" w:sz="4" w:space="0" w:color="auto"/>
              <w:left w:val="single" w:sz="4" w:space="0" w:color="auto"/>
              <w:bottom w:val="single" w:sz="4" w:space="0" w:color="auto"/>
              <w:right w:val="single" w:sz="4" w:space="0" w:color="auto"/>
            </w:tcBorders>
            <w:hideMark/>
          </w:tcPr>
          <w:p w14:paraId="749B679E" w14:textId="77777777" w:rsidR="00F21F87" w:rsidRPr="00F21F87" w:rsidRDefault="00F21F87" w:rsidP="00790A00">
            <w:pPr>
              <w:spacing w:after="0"/>
              <w:rPr>
                <w:rFonts w:cs="Arial"/>
                <w:szCs w:val="20"/>
                <w:lang w:val="en-GB"/>
              </w:rPr>
            </w:pPr>
            <w:r w:rsidRPr="00F21F87">
              <w:rPr>
                <w:rFonts w:cs="Arial"/>
                <w:szCs w:val="20"/>
                <w:lang w:val="en-GB"/>
              </w:rPr>
              <w:t>-</w:t>
            </w:r>
          </w:p>
        </w:tc>
      </w:tr>
    </w:tbl>
    <w:p w14:paraId="004D7299" w14:textId="77777777" w:rsidR="00AD3320" w:rsidRPr="009B5B67" w:rsidRDefault="00AD3320" w:rsidP="00AD3320">
      <w:pPr>
        <w:spacing w:after="0"/>
        <w:rPr>
          <w:rFonts w:cs="Arial"/>
          <w:szCs w:val="20"/>
          <w:lang w:val="en-GB"/>
        </w:rPr>
      </w:pPr>
    </w:p>
    <w:p w14:paraId="3631FDB9" w14:textId="77777777" w:rsidR="00AD3320" w:rsidRPr="009B5B67" w:rsidRDefault="00AD3320" w:rsidP="00AD3320">
      <w:pPr>
        <w:spacing w:after="0"/>
        <w:rPr>
          <w:rFonts w:cs="Arial"/>
          <w:szCs w:val="20"/>
          <w:lang w:val="en-GB"/>
        </w:rPr>
      </w:pPr>
    </w:p>
    <w:p w14:paraId="36DF6725" w14:textId="23A2F582" w:rsidR="00AD3320" w:rsidRPr="009B5B67" w:rsidRDefault="00AD3320" w:rsidP="008245F4">
      <w:pPr>
        <w:pStyle w:val="Heading2"/>
        <w:widowControl w:val="0"/>
        <w:numPr>
          <w:ilvl w:val="1"/>
          <w:numId w:val="43"/>
        </w:numPr>
        <w:autoSpaceDE w:val="0"/>
        <w:autoSpaceDN w:val="0"/>
        <w:ind w:left="578" w:hanging="578"/>
        <w:jc w:val="left"/>
        <w:rPr>
          <w:b/>
          <w:lang w:val="en-GB"/>
        </w:rPr>
      </w:pPr>
      <w:bookmarkStart w:id="92" w:name="_Toc56439394"/>
      <w:r w:rsidRPr="009B5B67">
        <w:rPr>
          <w:b/>
          <w:lang w:val="en-GB"/>
        </w:rPr>
        <w:lastRenderedPageBreak/>
        <w:t>Adaptation related projects, measures and actions required for achievement of Serbian NDC</w:t>
      </w:r>
      <w:bookmarkEnd w:id="92"/>
    </w:p>
    <w:tbl>
      <w:tblPr>
        <w:tblStyle w:val="TableGrid"/>
        <w:tblW w:w="14029" w:type="dxa"/>
        <w:tblLayout w:type="fixed"/>
        <w:tblCellMar>
          <w:top w:w="57" w:type="dxa"/>
          <w:bottom w:w="57" w:type="dxa"/>
        </w:tblCellMar>
        <w:tblLook w:val="04A0" w:firstRow="1" w:lastRow="0" w:firstColumn="1" w:lastColumn="0" w:noHBand="0" w:noVBand="1"/>
      </w:tblPr>
      <w:tblGrid>
        <w:gridCol w:w="534"/>
        <w:gridCol w:w="1984"/>
        <w:gridCol w:w="2268"/>
        <w:gridCol w:w="1843"/>
        <w:gridCol w:w="1417"/>
        <w:gridCol w:w="1985"/>
        <w:gridCol w:w="2410"/>
        <w:gridCol w:w="1588"/>
      </w:tblGrid>
      <w:tr w:rsidR="00AD3320" w:rsidRPr="009B5B67" w14:paraId="65898714" w14:textId="77777777" w:rsidTr="008245F4">
        <w:trPr>
          <w:cantSplit/>
          <w:trHeight w:val="1103"/>
          <w:tblHeader/>
        </w:trPr>
        <w:tc>
          <w:tcPr>
            <w:tcW w:w="534" w:type="dxa"/>
            <w:shd w:val="clear" w:color="auto" w:fill="D5DCE4" w:themeFill="text2" w:themeFillTint="33"/>
            <w:tcMar>
              <w:left w:w="57" w:type="dxa"/>
              <w:right w:w="57" w:type="dxa"/>
            </w:tcMar>
            <w:textDirection w:val="btLr"/>
            <w:vAlign w:val="center"/>
          </w:tcPr>
          <w:p w14:paraId="3384BC80" w14:textId="77777777" w:rsidR="00AD3320" w:rsidRPr="009B5B67" w:rsidRDefault="00AD3320" w:rsidP="008245F4">
            <w:pPr>
              <w:spacing w:after="0" w:line="240" w:lineRule="auto"/>
              <w:ind w:left="113" w:right="113"/>
              <w:jc w:val="center"/>
              <w:rPr>
                <w:rFonts w:cs="Arial"/>
                <w:b/>
                <w:sz w:val="18"/>
                <w:szCs w:val="18"/>
                <w:lang w:val="en-GB"/>
              </w:rPr>
            </w:pPr>
            <w:r w:rsidRPr="009B5B67">
              <w:rPr>
                <w:rFonts w:cs="Arial"/>
                <w:b/>
                <w:sz w:val="18"/>
                <w:szCs w:val="18"/>
                <w:lang w:val="en-GB"/>
              </w:rPr>
              <w:t>SECTOR</w:t>
            </w:r>
          </w:p>
        </w:tc>
        <w:tc>
          <w:tcPr>
            <w:tcW w:w="1984" w:type="dxa"/>
            <w:shd w:val="clear" w:color="auto" w:fill="D5DCE4" w:themeFill="text2" w:themeFillTint="33"/>
            <w:vAlign w:val="center"/>
          </w:tcPr>
          <w:p w14:paraId="06404DF9" w14:textId="77777777" w:rsidR="00AD3320" w:rsidRPr="009B5B67" w:rsidRDefault="00AD3320" w:rsidP="008245F4">
            <w:pPr>
              <w:jc w:val="center"/>
              <w:rPr>
                <w:rFonts w:cs="Arial"/>
                <w:b/>
                <w:sz w:val="18"/>
                <w:szCs w:val="18"/>
                <w:lang w:val="en-GB"/>
              </w:rPr>
            </w:pPr>
            <w:r w:rsidRPr="009B5B67">
              <w:rPr>
                <w:rFonts w:cs="Arial"/>
                <w:b/>
                <w:sz w:val="18"/>
                <w:szCs w:val="18"/>
                <w:lang w:val="en-GB"/>
              </w:rPr>
              <w:t xml:space="preserve">Priority </w:t>
            </w:r>
            <w:proofErr w:type="gramStart"/>
            <w:r w:rsidRPr="009B5B67">
              <w:rPr>
                <w:rFonts w:cs="Arial"/>
                <w:b/>
                <w:sz w:val="18"/>
                <w:szCs w:val="18"/>
                <w:lang w:val="en-GB"/>
              </w:rPr>
              <w:t>adaptation  measure</w:t>
            </w:r>
            <w:proofErr w:type="gramEnd"/>
          </w:p>
        </w:tc>
        <w:tc>
          <w:tcPr>
            <w:tcW w:w="2268" w:type="dxa"/>
            <w:shd w:val="clear" w:color="auto" w:fill="D5DCE4" w:themeFill="text2" w:themeFillTint="33"/>
            <w:vAlign w:val="center"/>
          </w:tcPr>
          <w:p w14:paraId="6BFC0A45" w14:textId="77777777" w:rsidR="00AD3320" w:rsidRPr="009B5B67" w:rsidRDefault="00AD3320" w:rsidP="008245F4">
            <w:pPr>
              <w:jc w:val="center"/>
              <w:rPr>
                <w:rFonts w:cs="Arial"/>
                <w:b/>
                <w:sz w:val="18"/>
                <w:szCs w:val="18"/>
                <w:lang w:val="en-GB"/>
              </w:rPr>
            </w:pPr>
            <w:r w:rsidRPr="009B5B67">
              <w:rPr>
                <w:rFonts w:cs="Arial"/>
                <w:b/>
                <w:sz w:val="18"/>
                <w:szCs w:val="18"/>
                <w:lang w:val="en-GB"/>
              </w:rPr>
              <w:t>Description</w:t>
            </w:r>
          </w:p>
        </w:tc>
        <w:tc>
          <w:tcPr>
            <w:tcW w:w="1843" w:type="dxa"/>
            <w:shd w:val="clear" w:color="auto" w:fill="D5DCE4" w:themeFill="text2" w:themeFillTint="33"/>
            <w:vAlign w:val="center"/>
          </w:tcPr>
          <w:p w14:paraId="3F22D77A" w14:textId="77777777" w:rsidR="00AD3320" w:rsidRPr="009B5B67" w:rsidRDefault="00AD3320" w:rsidP="008245F4">
            <w:pPr>
              <w:jc w:val="center"/>
              <w:rPr>
                <w:rFonts w:cs="Arial"/>
                <w:b/>
                <w:sz w:val="18"/>
                <w:szCs w:val="18"/>
                <w:lang w:val="en-GB"/>
              </w:rPr>
            </w:pPr>
            <w:r w:rsidRPr="009B5B67">
              <w:rPr>
                <w:rFonts w:cs="Arial"/>
                <w:b/>
                <w:sz w:val="18"/>
                <w:szCs w:val="18"/>
                <w:lang w:val="en-GB"/>
              </w:rPr>
              <w:t>Sector(s) involved or affected</w:t>
            </w:r>
          </w:p>
        </w:tc>
        <w:tc>
          <w:tcPr>
            <w:tcW w:w="1417" w:type="dxa"/>
            <w:shd w:val="clear" w:color="auto" w:fill="D5DCE4" w:themeFill="text2" w:themeFillTint="33"/>
            <w:vAlign w:val="center"/>
          </w:tcPr>
          <w:p w14:paraId="36B13811" w14:textId="77777777" w:rsidR="00AD3320" w:rsidRPr="009B5B67" w:rsidRDefault="00AD3320" w:rsidP="008245F4">
            <w:pPr>
              <w:jc w:val="center"/>
              <w:rPr>
                <w:rFonts w:cs="Arial"/>
                <w:b/>
                <w:sz w:val="18"/>
                <w:szCs w:val="18"/>
                <w:lang w:val="en-GB"/>
              </w:rPr>
            </w:pPr>
            <w:r w:rsidRPr="009B5B67">
              <w:rPr>
                <w:rFonts w:cs="Arial"/>
                <w:b/>
                <w:sz w:val="18"/>
                <w:szCs w:val="18"/>
                <w:lang w:val="en-GB"/>
              </w:rPr>
              <w:t>Responsible institution</w:t>
            </w:r>
          </w:p>
        </w:tc>
        <w:tc>
          <w:tcPr>
            <w:tcW w:w="1985" w:type="dxa"/>
            <w:shd w:val="clear" w:color="auto" w:fill="D5DCE4" w:themeFill="text2" w:themeFillTint="33"/>
            <w:vAlign w:val="center"/>
          </w:tcPr>
          <w:p w14:paraId="47C0A85C" w14:textId="77777777" w:rsidR="00AD3320" w:rsidRPr="009B5B67" w:rsidRDefault="00AD3320" w:rsidP="008245F4">
            <w:pPr>
              <w:ind w:left="113" w:right="113"/>
              <w:jc w:val="center"/>
              <w:rPr>
                <w:rFonts w:cs="Arial"/>
                <w:b/>
                <w:sz w:val="18"/>
                <w:szCs w:val="18"/>
                <w:lang w:val="en-GB"/>
              </w:rPr>
            </w:pPr>
            <w:r w:rsidRPr="009B5B67">
              <w:rPr>
                <w:rFonts w:cs="Arial"/>
                <w:b/>
                <w:sz w:val="18"/>
                <w:szCs w:val="18"/>
                <w:lang w:val="en-GB"/>
              </w:rPr>
              <w:t>Indicator</w:t>
            </w:r>
          </w:p>
        </w:tc>
        <w:tc>
          <w:tcPr>
            <w:tcW w:w="2410" w:type="dxa"/>
            <w:shd w:val="clear" w:color="auto" w:fill="D5DCE4" w:themeFill="text2" w:themeFillTint="33"/>
            <w:vAlign w:val="center"/>
          </w:tcPr>
          <w:p w14:paraId="4507B680" w14:textId="77777777" w:rsidR="00AD3320" w:rsidRPr="009B5B67" w:rsidRDefault="00AD3320" w:rsidP="008245F4">
            <w:pPr>
              <w:ind w:left="113" w:right="113"/>
              <w:jc w:val="center"/>
              <w:rPr>
                <w:rFonts w:cs="Arial"/>
                <w:b/>
                <w:sz w:val="18"/>
                <w:szCs w:val="18"/>
                <w:lang w:val="en-GB"/>
              </w:rPr>
            </w:pPr>
            <w:proofErr w:type="spellStart"/>
            <w:r w:rsidRPr="009B5B67">
              <w:rPr>
                <w:rFonts w:cs="Arial"/>
                <w:b/>
                <w:sz w:val="18"/>
                <w:szCs w:val="18"/>
                <w:lang w:val="en-GB"/>
              </w:rPr>
              <w:t>Potrebna</w:t>
            </w:r>
            <w:proofErr w:type="spellEnd"/>
            <w:r w:rsidRPr="009B5B67">
              <w:rPr>
                <w:rFonts w:cs="Arial"/>
                <w:b/>
                <w:sz w:val="18"/>
                <w:szCs w:val="18"/>
                <w:lang w:val="en-GB"/>
              </w:rPr>
              <w:t xml:space="preserve"> </w:t>
            </w:r>
            <w:proofErr w:type="spellStart"/>
            <w:r w:rsidRPr="009B5B67">
              <w:rPr>
                <w:rFonts w:cs="Arial"/>
                <w:b/>
                <w:sz w:val="18"/>
                <w:szCs w:val="18"/>
                <w:lang w:val="en-GB"/>
              </w:rPr>
              <w:t>finansijska</w:t>
            </w:r>
            <w:proofErr w:type="spellEnd"/>
            <w:r w:rsidRPr="009B5B67">
              <w:rPr>
                <w:rFonts w:cs="Arial"/>
                <w:b/>
                <w:sz w:val="18"/>
                <w:szCs w:val="18"/>
                <w:lang w:val="en-GB"/>
              </w:rPr>
              <w:t xml:space="preserve"> </w:t>
            </w:r>
            <w:proofErr w:type="spellStart"/>
            <w:r w:rsidRPr="009B5B67">
              <w:rPr>
                <w:rFonts w:cs="Arial"/>
                <w:b/>
                <w:sz w:val="18"/>
                <w:szCs w:val="18"/>
                <w:lang w:val="en-GB"/>
              </w:rPr>
              <w:t>sredstva</w:t>
            </w:r>
            <w:proofErr w:type="spellEnd"/>
            <w:r w:rsidRPr="009B5B67">
              <w:rPr>
                <w:rFonts w:cs="Arial"/>
                <w:b/>
                <w:sz w:val="18"/>
                <w:szCs w:val="18"/>
                <w:lang w:val="en-GB"/>
              </w:rPr>
              <w:t xml:space="preserve"> do 2030.</w:t>
            </w:r>
          </w:p>
        </w:tc>
        <w:tc>
          <w:tcPr>
            <w:tcW w:w="1588" w:type="dxa"/>
            <w:shd w:val="clear" w:color="auto" w:fill="D5DCE4" w:themeFill="text2" w:themeFillTint="33"/>
            <w:vAlign w:val="center"/>
          </w:tcPr>
          <w:p w14:paraId="53F1279D" w14:textId="77777777" w:rsidR="00AD3320" w:rsidRPr="009B5B67" w:rsidRDefault="00AD3320" w:rsidP="008245F4">
            <w:pPr>
              <w:ind w:left="113" w:right="113"/>
              <w:jc w:val="center"/>
              <w:rPr>
                <w:rFonts w:cs="Arial"/>
                <w:b/>
                <w:sz w:val="18"/>
                <w:szCs w:val="18"/>
                <w:lang w:val="en-GB"/>
              </w:rPr>
            </w:pPr>
            <w:r w:rsidRPr="009B5B67">
              <w:rPr>
                <w:rFonts w:cs="Arial"/>
                <w:b/>
                <w:sz w:val="18"/>
                <w:szCs w:val="18"/>
                <w:lang w:val="en-GB"/>
              </w:rPr>
              <w:t>Potential sources of funding</w:t>
            </w:r>
          </w:p>
        </w:tc>
      </w:tr>
      <w:tr w:rsidR="00AD3320" w:rsidRPr="000324FE" w14:paraId="2ED94663" w14:textId="77777777" w:rsidTr="008245F4">
        <w:trPr>
          <w:cantSplit/>
          <w:trHeight w:val="20"/>
        </w:trPr>
        <w:tc>
          <w:tcPr>
            <w:tcW w:w="534" w:type="dxa"/>
            <w:vMerge w:val="restart"/>
            <w:shd w:val="clear" w:color="auto" w:fill="FFEA8F"/>
            <w:textDirection w:val="btLr"/>
            <w:vAlign w:val="center"/>
          </w:tcPr>
          <w:p w14:paraId="680FEA52" w14:textId="77777777" w:rsidR="00AD3320" w:rsidRPr="009B5B67" w:rsidRDefault="00AD3320" w:rsidP="008245F4">
            <w:pPr>
              <w:ind w:left="113" w:right="113"/>
              <w:jc w:val="center"/>
              <w:rPr>
                <w:rFonts w:cs="Arial"/>
                <w:sz w:val="18"/>
                <w:szCs w:val="18"/>
                <w:lang w:val="en-GB"/>
              </w:rPr>
            </w:pPr>
            <w:r w:rsidRPr="009B5B67">
              <w:rPr>
                <w:rFonts w:cs="Arial"/>
                <w:sz w:val="18"/>
                <w:szCs w:val="18"/>
                <w:lang w:val="en-GB"/>
              </w:rPr>
              <w:t>AGRICULTURE</w:t>
            </w:r>
          </w:p>
        </w:tc>
        <w:tc>
          <w:tcPr>
            <w:tcW w:w="1984" w:type="dxa"/>
            <w:shd w:val="clear" w:color="auto" w:fill="auto"/>
          </w:tcPr>
          <w:p w14:paraId="459D46BF" w14:textId="77777777" w:rsidR="00AD3320" w:rsidRPr="009B5B67" w:rsidRDefault="00AD3320" w:rsidP="008245F4">
            <w:pPr>
              <w:rPr>
                <w:rFonts w:cs="Arial"/>
                <w:sz w:val="18"/>
                <w:szCs w:val="18"/>
                <w:lang w:val="en-GB"/>
              </w:rPr>
            </w:pPr>
            <w:r w:rsidRPr="009B5B67">
              <w:rPr>
                <w:rFonts w:cs="Arial"/>
                <w:sz w:val="18"/>
                <w:szCs w:val="18"/>
                <w:lang w:val="en-GB"/>
              </w:rPr>
              <w:t xml:space="preserve">Constructing new irrigation systems and more efficient use of the </w:t>
            </w:r>
            <w:r w:rsidR="008245F4" w:rsidRPr="009B5B67">
              <w:rPr>
                <w:rFonts w:cs="Arial"/>
                <w:sz w:val="18"/>
                <w:szCs w:val="18"/>
                <w:lang w:val="en-GB"/>
              </w:rPr>
              <w:t>existing</w:t>
            </w:r>
            <w:r w:rsidRPr="009B5B67">
              <w:rPr>
                <w:rFonts w:cs="Arial"/>
                <w:sz w:val="18"/>
                <w:szCs w:val="18"/>
                <w:lang w:val="en-GB"/>
              </w:rPr>
              <w:t xml:space="preserve"> ones</w:t>
            </w:r>
          </w:p>
        </w:tc>
        <w:tc>
          <w:tcPr>
            <w:tcW w:w="2268" w:type="dxa"/>
            <w:shd w:val="clear" w:color="auto" w:fill="auto"/>
          </w:tcPr>
          <w:p w14:paraId="3DAFEA00" w14:textId="77777777" w:rsidR="00AD3320" w:rsidRPr="009B5B67" w:rsidRDefault="00AD3320" w:rsidP="008245F4">
            <w:pPr>
              <w:rPr>
                <w:rFonts w:cs="Arial"/>
                <w:sz w:val="18"/>
                <w:szCs w:val="18"/>
                <w:lang w:val="en-GB"/>
              </w:rPr>
            </w:pPr>
            <w:r w:rsidRPr="009B5B67">
              <w:rPr>
                <w:rFonts w:cs="Arial"/>
                <w:sz w:val="18"/>
                <w:szCs w:val="18"/>
                <w:lang w:val="en-GB"/>
              </w:rPr>
              <w:t>Constructing new irrigation systems and increasing the irrigated area from currently 40.000-70.000 ha to 220.000 ha until 2030 (new 150.000-180.000 ha</w:t>
            </w:r>
            <w:r w:rsidR="008245F4" w:rsidRPr="009B5B67">
              <w:rPr>
                <w:rFonts w:cs="Arial"/>
                <w:sz w:val="18"/>
                <w:szCs w:val="18"/>
                <w:lang w:val="en-GB"/>
              </w:rPr>
              <w:t xml:space="preserve"> under the irrigation systems).</w:t>
            </w:r>
          </w:p>
        </w:tc>
        <w:tc>
          <w:tcPr>
            <w:tcW w:w="1843" w:type="dxa"/>
            <w:shd w:val="clear" w:color="auto" w:fill="auto"/>
          </w:tcPr>
          <w:p w14:paraId="20B0C8F6" w14:textId="77777777" w:rsidR="00AD3320" w:rsidRPr="009B5B67" w:rsidRDefault="00AD3320" w:rsidP="008245F4">
            <w:pPr>
              <w:rPr>
                <w:rFonts w:cs="Arial"/>
                <w:sz w:val="18"/>
                <w:szCs w:val="18"/>
                <w:lang w:val="en-GB"/>
              </w:rPr>
            </w:pPr>
            <w:r w:rsidRPr="009B5B67">
              <w:rPr>
                <w:rFonts w:cs="Arial"/>
                <w:sz w:val="18"/>
                <w:szCs w:val="18"/>
                <w:lang w:val="en-GB"/>
              </w:rPr>
              <w:t>Agriculture</w:t>
            </w:r>
          </w:p>
          <w:p w14:paraId="391A395E" w14:textId="77777777" w:rsidR="00AD3320" w:rsidRPr="009B5B67" w:rsidRDefault="00AD3320" w:rsidP="008245F4">
            <w:pPr>
              <w:rPr>
                <w:rFonts w:cs="Arial"/>
                <w:sz w:val="18"/>
                <w:szCs w:val="18"/>
                <w:lang w:val="en-GB"/>
              </w:rPr>
            </w:pPr>
            <w:r w:rsidRPr="009B5B67">
              <w:rPr>
                <w:rFonts w:cs="Arial"/>
                <w:sz w:val="18"/>
                <w:szCs w:val="18"/>
                <w:lang w:val="en-GB"/>
              </w:rPr>
              <w:t>Water Management</w:t>
            </w:r>
          </w:p>
        </w:tc>
        <w:tc>
          <w:tcPr>
            <w:tcW w:w="1417" w:type="dxa"/>
            <w:shd w:val="clear" w:color="auto" w:fill="auto"/>
          </w:tcPr>
          <w:p w14:paraId="3E17A73C" w14:textId="77777777" w:rsidR="00AD3320" w:rsidRPr="009B5B67" w:rsidRDefault="00AD3320" w:rsidP="008245F4">
            <w:pPr>
              <w:rPr>
                <w:rFonts w:cs="Arial"/>
                <w:sz w:val="18"/>
                <w:szCs w:val="18"/>
                <w:lang w:val="en-GB"/>
              </w:rPr>
            </w:pPr>
            <w:r w:rsidRPr="009B5B67">
              <w:rPr>
                <w:rFonts w:cs="Arial"/>
                <w:sz w:val="18"/>
                <w:szCs w:val="18"/>
                <w:lang w:val="en-GB"/>
              </w:rPr>
              <w:t>Ministry of Agriculture, Forestry and Water Management</w:t>
            </w:r>
          </w:p>
        </w:tc>
        <w:tc>
          <w:tcPr>
            <w:tcW w:w="1985" w:type="dxa"/>
            <w:shd w:val="clear" w:color="auto" w:fill="auto"/>
          </w:tcPr>
          <w:p w14:paraId="2C778BB4" w14:textId="77777777" w:rsidR="00AD3320" w:rsidRPr="009B5B67" w:rsidRDefault="00AD3320" w:rsidP="008245F4">
            <w:pPr>
              <w:rPr>
                <w:rFonts w:cs="Arial"/>
                <w:sz w:val="18"/>
                <w:szCs w:val="18"/>
                <w:lang w:val="en-GB"/>
              </w:rPr>
            </w:pPr>
            <w:r w:rsidRPr="009B5B67">
              <w:rPr>
                <w:rFonts w:cs="Arial"/>
                <w:sz w:val="18"/>
                <w:szCs w:val="18"/>
                <w:lang w:val="en-GB"/>
              </w:rPr>
              <w:t>Volume of water used for irrigation per year (m</w:t>
            </w:r>
            <w:r w:rsidRPr="009B5B67">
              <w:rPr>
                <w:rFonts w:cs="Arial"/>
                <w:sz w:val="18"/>
                <w:szCs w:val="18"/>
                <w:vertAlign w:val="superscript"/>
                <w:lang w:val="en-GB"/>
              </w:rPr>
              <w:t>3</w:t>
            </w:r>
            <w:r w:rsidRPr="009B5B67">
              <w:rPr>
                <w:rFonts w:cs="Arial"/>
                <w:sz w:val="18"/>
                <w:szCs w:val="18"/>
                <w:lang w:val="en-GB"/>
              </w:rPr>
              <w:t>/year)</w:t>
            </w:r>
          </w:p>
          <w:p w14:paraId="0137493E" w14:textId="77777777" w:rsidR="00AD3320" w:rsidRPr="009B5B67" w:rsidRDefault="00AD3320" w:rsidP="008245F4">
            <w:pPr>
              <w:rPr>
                <w:rFonts w:cs="Arial"/>
                <w:sz w:val="18"/>
                <w:szCs w:val="18"/>
                <w:lang w:val="en-GB"/>
              </w:rPr>
            </w:pPr>
            <w:r w:rsidRPr="009B5B67">
              <w:rPr>
                <w:rFonts w:cs="Arial"/>
                <w:sz w:val="18"/>
                <w:szCs w:val="18"/>
                <w:lang w:val="en-GB"/>
              </w:rPr>
              <w:t>(Statistical Office of the Republic of Serbia)</w:t>
            </w:r>
          </w:p>
        </w:tc>
        <w:tc>
          <w:tcPr>
            <w:tcW w:w="2410" w:type="dxa"/>
            <w:shd w:val="clear" w:color="auto" w:fill="auto"/>
          </w:tcPr>
          <w:p w14:paraId="410182A0" w14:textId="77777777" w:rsidR="00AD3320" w:rsidRPr="009B5B67" w:rsidRDefault="00AD3320" w:rsidP="008245F4">
            <w:pPr>
              <w:rPr>
                <w:rFonts w:cs="Arial"/>
                <w:sz w:val="18"/>
                <w:szCs w:val="18"/>
                <w:lang w:val="en-GB"/>
              </w:rPr>
            </w:pPr>
            <w:r w:rsidRPr="009B5B67">
              <w:rPr>
                <w:rFonts w:cs="Arial"/>
                <w:sz w:val="18"/>
                <w:szCs w:val="18"/>
                <w:lang w:val="en-GB"/>
              </w:rPr>
              <w:t>More than 100.000.000 EUR</w:t>
            </w:r>
          </w:p>
          <w:p w14:paraId="71FD0951" w14:textId="77777777" w:rsidR="00AD3320" w:rsidRPr="009B5B67" w:rsidRDefault="00AD3320" w:rsidP="008245F4">
            <w:pPr>
              <w:rPr>
                <w:rFonts w:cs="Arial"/>
                <w:sz w:val="18"/>
                <w:szCs w:val="18"/>
                <w:lang w:val="en-GB"/>
              </w:rPr>
            </w:pPr>
          </w:p>
          <w:p w14:paraId="135B61E3" w14:textId="77777777" w:rsidR="00AD3320" w:rsidRPr="009B5B67" w:rsidRDefault="00AD3320" w:rsidP="008245F4">
            <w:pPr>
              <w:rPr>
                <w:rFonts w:cs="Arial"/>
                <w:sz w:val="18"/>
                <w:szCs w:val="18"/>
                <w:lang w:val="en-GB"/>
              </w:rPr>
            </w:pPr>
            <w:r w:rsidRPr="009B5B67">
              <w:rPr>
                <w:rFonts w:cs="Arial"/>
                <w:sz w:val="18"/>
                <w:szCs w:val="18"/>
                <w:lang w:val="en-GB"/>
              </w:rPr>
              <w:t xml:space="preserve">(440.000.000 EUR proportionally from </w:t>
            </w:r>
            <w:r w:rsidR="008245F4" w:rsidRPr="009B5B67">
              <w:rPr>
                <w:rFonts w:cs="Arial"/>
                <w:sz w:val="18"/>
                <w:szCs w:val="18"/>
                <w:lang w:val="en-GB"/>
              </w:rPr>
              <w:t xml:space="preserve">the Water Management Strategy) </w:t>
            </w:r>
          </w:p>
        </w:tc>
        <w:tc>
          <w:tcPr>
            <w:tcW w:w="1588" w:type="dxa"/>
            <w:shd w:val="clear" w:color="auto" w:fill="auto"/>
          </w:tcPr>
          <w:p w14:paraId="33C705E0" w14:textId="77777777" w:rsidR="00AD3320" w:rsidRPr="009B5B67" w:rsidRDefault="00AD3320" w:rsidP="008245F4">
            <w:pPr>
              <w:rPr>
                <w:rFonts w:cs="Arial"/>
                <w:sz w:val="18"/>
                <w:szCs w:val="18"/>
                <w:lang w:val="en-GB"/>
              </w:rPr>
            </w:pPr>
            <w:r w:rsidRPr="009B5B67">
              <w:rPr>
                <w:rFonts w:cs="Arial"/>
                <w:sz w:val="18"/>
                <w:szCs w:val="18"/>
                <w:lang w:val="en-GB"/>
              </w:rPr>
              <w:t>Budget (IPARD)</w:t>
            </w:r>
          </w:p>
          <w:p w14:paraId="753935FE"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 Abu Dhabi Fund for Development)</w:t>
            </w:r>
          </w:p>
        </w:tc>
      </w:tr>
      <w:tr w:rsidR="00AD3320" w:rsidRPr="000324FE" w14:paraId="077CB6FD" w14:textId="77777777" w:rsidTr="008245F4">
        <w:trPr>
          <w:cantSplit/>
          <w:trHeight w:val="20"/>
        </w:trPr>
        <w:tc>
          <w:tcPr>
            <w:tcW w:w="534" w:type="dxa"/>
            <w:vMerge/>
            <w:shd w:val="clear" w:color="auto" w:fill="FFEA8F"/>
            <w:textDirection w:val="btLr"/>
            <w:vAlign w:val="center"/>
          </w:tcPr>
          <w:p w14:paraId="606E1A35"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7AF03FB6" w14:textId="77777777" w:rsidR="00AD3320" w:rsidRPr="009B5B67" w:rsidRDefault="00AD3320" w:rsidP="008245F4">
            <w:pPr>
              <w:rPr>
                <w:rFonts w:cs="Arial"/>
                <w:sz w:val="18"/>
                <w:szCs w:val="18"/>
                <w:lang w:val="en-GB"/>
              </w:rPr>
            </w:pPr>
            <w:r w:rsidRPr="009B5B67">
              <w:rPr>
                <w:rFonts w:cs="Arial"/>
                <w:sz w:val="18"/>
                <w:szCs w:val="18"/>
                <w:lang w:val="en-GB"/>
              </w:rPr>
              <w:t>Use of small, multi-purpose water accumulations</w:t>
            </w:r>
          </w:p>
        </w:tc>
        <w:tc>
          <w:tcPr>
            <w:tcW w:w="2268" w:type="dxa"/>
            <w:shd w:val="clear" w:color="auto" w:fill="auto"/>
          </w:tcPr>
          <w:p w14:paraId="6DC92EDD" w14:textId="77777777" w:rsidR="00AD3320" w:rsidRPr="009B5B67" w:rsidRDefault="00AD3320" w:rsidP="008245F4">
            <w:pPr>
              <w:rPr>
                <w:rFonts w:cs="Arial"/>
                <w:sz w:val="18"/>
                <w:szCs w:val="18"/>
                <w:lang w:val="en-GB"/>
              </w:rPr>
            </w:pPr>
            <w:r w:rsidRPr="009B5B67">
              <w:rPr>
                <w:rFonts w:cs="Arial"/>
                <w:sz w:val="18"/>
                <w:szCs w:val="18"/>
                <w:lang w:val="en-GB"/>
              </w:rPr>
              <w:t xml:space="preserve">Constructing and use of small water accumulations (small lakes, ponds, reservoirs) for irrigation and water supply during drought, erosion management, flood protection and </w:t>
            </w:r>
            <w:proofErr w:type="spellStart"/>
            <w:r w:rsidRPr="009B5B67">
              <w:rPr>
                <w:rFonts w:cs="Arial"/>
                <w:sz w:val="18"/>
                <w:szCs w:val="18"/>
                <w:lang w:val="en-GB"/>
              </w:rPr>
              <w:t>agro</w:t>
            </w:r>
            <w:proofErr w:type="spellEnd"/>
            <w:r w:rsidRPr="009B5B67">
              <w:rPr>
                <w:rFonts w:cs="Arial"/>
                <w:sz w:val="18"/>
                <w:szCs w:val="18"/>
                <w:lang w:val="en-GB"/>
              </w:rPr>
              <w:t>-ecosystems management.</w:t>
            </w:r>
          </w:p>
        </w:tc>
        <w:tc>
          <w:tcPr>
            <w:tcW w:w="1843" w:type="dxa"/>
            <w:shd w:val="clear" w:color="auto" w:fill="auto"/>
          </w:tcPr>
          <w:p w14:paraId="5A17B6F7" w14:textId="77777777" w:rsidR="00AD3320" w:rsidRPr="009B5B67" w:rsidRDefault="00AD3320" w:rsidP="008245F4">
            <w:pPr>
              <w:rPr>
                <w:rFonts w:cs="Arial"/>
                <w:sz w:val="18"/>
                <w:szCs w:val="18"/>
                <w:lang w:val="en-GB"/>
              </w:rPr>
            </w:pPr>
            <w:r w:rsidRPr="009B5B67">
              <w:rPr>
                <w:rFonts w:cs="Arial"/>
                <w:sz w:val="18"/>
                <w:szCs w:val="18"/>
                <w:lang w:val="en-GB"/>
              </w:rPr>
              <w:t>Agriculture</w:t>
            </w:r>
          </w:p>
          <w:p w14:paraId="5AD3041C" w14:textId="77777777" w:rsidR="00AD3320" w:rsidRPr="009B5B67" w:rsidRDefault="008245F4" w:rsidP="008245F4">
            <w:pPr>
              <w:rPr>
                <w:rFonts w:cs="Arial"/>
                <w:sz w:val="18"/>
                <w:szCs w:val="18"/>
                <w:lang w:val="en-GB"/>
              </w:rPr>
            </w:pPr>
            <w:r w:rsidRPr="009B5B67">
              <w:rPr>
                <w:rFonts w:cs="Arial"/>
                <w:sz w:val="18"/>
                <w:szCs w:val="18"/>
                <w:lang w:val="en-GB"/>
              </w:rPr>
              <w:t>Water Management Biodiversity</w:t>
            </w:r>
          </w:p>
        </w:tc>
        <w:tc>
          <w:tcPr>
            <w:tcW w:w="1417" w:type="dxa"/>
            <w:shd w:val="clear" w:color="auto" w:fill="auto"/>
          </w:tcPr>
          <w:p w14:paraId="6C5192F7" w14:textId="77777777" w:rsidR="00AD3320" w:rsidRPr="009B5B67" w:rsidRDefault="00AD3320" w:rsidP="008245F4">
            <w:pPr>
              <w:rPr>
                <w:rFonts w:cs="Arial"/>
                <w:sz w:val="18"/>
                <w:szCs w:val="18"/>
                <w:lang w:val="en-GB"/>
              </w:rPr>
            </w:pPr>
            <w:r w:rsidRPr="009B5B67">
              <w:rPr>
                <w:rFonts w:cs="Arial"/>
                <w:sz w:val="18"/>
                <w:szCs w:val="18"/>
                <w:lang w:val="en-GB"/>
              </w:rPr>
              <w:t>Ministry of Agriculture, Forestry and Water Management, Republic Water Directorate</w:t>
            </w:r>
          </w:p>
          <w:p w14:paraId="1080040C" w14:textId="77777777" w:rsidR="00AD3320" w:rsidRPr="009B5B67" w:rsidRDefault="00AD3320" w:rsidP="008245F4">
            <w:pPr>
              <w:rPr>
                <w:rFonts w:cs="Arial"/>
                <w:sz w:val="18"/>
                <w:szCs w:val="18"/>
                <w:lang w:val="en-GB"/>
              </w:rPr>
            </w:pPr>
            <w:r w:rsidRPr="009B5B67">
              <w:rPr>
                <w:rFonts w:cs="Arial"/>
                <w:sz w:val="18"/>
                <w:szCs w:val="18"/>
                <w:lang w:val="en-GB"/>
              </w:rPr>
              <w:t>Public Water Management Companies</w:t>
            </w:r>
          </w:p>
        </w:tc>
        <w:tc>
          <w:tcPr>
            <w:tcW w:w="1985" w:type="dxa"/>
            <w:shd w:val="clear" w:color="auto" w:fill="auto"/>
          </w:tcPr>
          <w:p w14:paraId="1A27ECA5" w14:textId="77777777" w:rsidR="00AD3320" w:rsidRPr="009B5B67" w:rsidRDefault="00AD3320" w:rsidP="008245F4">
            <w:pPr>
              <w:rPr>
                <w:rFonts w:cs="Arial"/>
                <w:sz w:val="18"/>
                <w:szCs w:val="18"/>
                <w:lang w:val="en-GB"/>
              </w:rPr>
            </w:pPr>
            <w:r w:rsidRPr="009B5B67">
              <w:rPr>
                <w:rFonts w:cs="Arial"/>
                <w:sz w:val="18"/>
                <w:szCs w:val="18"/>
                <w:lang w:val="en-GB"/>
              </w:rPr>
              <w:t>Number of issued permissions for constructing lakes or accumulations (Local self-government, Republic Water Directorate)</w:t>
            </w:r>
          </w:p>
        </w:tc>
        <w:tc>
          <w:tcPr>
            <w:tcW w:w="2410" w:type="dxa"/>
            <w:shd w:val="clear" w:color="auto" w:fill="auto"/>
          </w:tcPr>
          <w:p w14:paraId="08AE36D5" w14:textId="77777777" w:rsidR="00AD3320" w:rsidRPr="009B5B67" w:rsidRDefault="00AD3320" w:rsidP="008245F4">
            <w:pPr>
              <w:rPr>
                <w:rFonts w:cs="Arial"/>
                <w:sz w:val="18"/>
                <w:szCs w:val="18"/>
                <w:lang w:val="en-GB"/>
              </w:rPr>
            </w:pPr>
            <w:r w:rsidRPr="009B5B67">
              <w:rPr>
                <w:rFonts w:cs="Arial"/>
                <w:sz w:val="18"/>
                <w:szCs w:val="18"/>
                <w:lang w:val="en-GB"/>
              </w:rPr>
              <w:t>From 10.000.000 EUR to 100.000.000 EUR</w:t>
            </w:r>
          </w:p>
        </w:tc>
        <w:tc>
          <w:tcPr>
            <w:tcW w:w="1588" w:type="dxa"/>
            <w:shd w:val="clear" w:color="auto" w:fill="auto"/>
          </w:tcPr>
          <w:p w14:paraId="1E7A4865" w14:textId="77777777" w:rsidR="00AD3320" w:rsidRPr="009B5B67" w:rsidRDefault="00AD3320" w:rsidP="008245F4">
            <w:pPr>
              <w:rPr>
                <w:rFonts w:cs="Arial"/>
                <w:sz w:val="18"/>
                <w:szCs w:val="18"/>
                <w:lang w:val="en-GB"/>
              </w:rPr>
            </w:pPr>
            <w:r w:rsidRPr="009B5B67">
              <w:rPr>
                <w:rFonts w:cs="Arial"/>
                <w:sz w:val="18"/>
                <w:szCs w:val="18"/>
                <w:lang w:val="en-GB"/>
              </w:rPr>
              <w:t>Budget (IPARD)</w:t>
            </w:r>
          </w:p>
          <w:p w14:paraId="54381B50"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tc>
      </w:tr>
      <w:tr w:rsidR="00AD3320" w:rsidRPr="009B5B67" w14:paraId="30BFAFCE" w14:textId="77777777" w:rsidTr="008245F4">
        <w:trPr>
          <w:cantSplit/>
          <w:trHeight w:val="20"/>
        </w:trPr>
        <w:tc>
          <w:tcPr>
            <w:tcW w:w="534" w:type="dxa"/>
            <w:vMerge/>
            <w:shd w:val="clear" w:color="auto" w:fill="FFEA8F"/>
            <w:textDirection w:val="btLr"/>
            <w:vAlign w:val="center"/>
          </w:tcPr>
          <w:p w14:paraId="5684C31A"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3E3DA951" w14:textId="77777777" w:rsidR="00AD3320" w:rsidRPr="009B5B67" w:rsidRDefault="00AD3320" w:rsidP="008245F4">
            <w:pPr>
              <w:rPr>
                <w:rFonts w:cs="Arial"/>
                <w:sz w:val="18"/>
                <w:szCs w:val="18"/>
                <w:lang w:val="en-GB"/>
              </w:rPr>
            </w:pPr>
            <w:r w:rsidRPr="009B5B67">
              <w:rPr>
                <w:rFonts w:cs="Arial"/>
                <w:sz w:val="18"/>
                <w:szCs w:val="18"/>
                <w:lang w:val="en-GB"/>
              </w:rPr>
              <w:t xml:space="preserve">Adjustment of the technologies of agricultural plant and animal production </w:t>
            </w:r>
          </w:p>
        </w:tc>
        <w:tc>
          <w:tcPr>
            <w:tcW w:w="2268" w:type="dxa"/>
            <w:shd w:val="clear" w:color="auto" w:fill="auto"/>
          </w:tcPr>
          <w:p w14:paraId="5E955F57" w14:textId="77777777" w:rsidR="00AD3320" w:rsidRPr="009B5B67" w:rsidRDefault="00AD3320" w:rsidP="008245F4">
            <w:pPr>
              <w:rPr>
                <w:rFonts w:cs="Arial"/>
                <w:sz w:val="18"/>
                <w:szCs w:val="18"/>
                <w:lang w:val="en-GB"/>
              </w:rPr>
            </w:pPr>
            <w:r w:rsidRPr="009B5B67">
              <w:rPr>
                <w:rFonts w:cs="Arial"/>
                <w:sz w:val="18"/>
                <w:szCs w:val="18"/>
                <w:lang w:val="en-GB"/>
              </w:rPr>
              <w:t xml:space="preserve">Development of recommendations for species and varieties selection, </w:t>
            </w:r>
            <w:proofErr w:type="spellStart"/>
            <w:r w:rsidRPr="009B5B67">
              <w:rPr>
                <w:rFonts w:cs="Arial"/>
                <w:sz w:val="18"/>
                <w:szCs w:val="18"/>
                <w:lang w:val="en-GB"/>
              </w:rPr>
              <w:t>agro</w:t>
            </w:r>
            <w:proofErr w:type="spellEnd"/>
            <w:r w:rsidRPr="009B5B67">
              <w:rPr>
                <w:rFonts w:cs="Arial"/>
                <w:sz w:val="18"/>
                <w:szCs w:val="18"/>
                <w:lang w:val="en-GB"/>
              </w:rPr>
              <w:t>-technical measures (including sustainable land use and rational fertilizer management) and zoo-technical conditions.  Provide financial support for farmers to impl</w:t>
            </w:r>
            <w:r w:rsidR="008245F4" w:rsidRPr="009B5B67">
              <w:rPr>
                <w:rFonts w:cs="Arial"/>
                <w:sz w:val="18"/>
                <w:szCs w:val="18"/>
                <w:lang w:val="en-GB"/>
              </w:rPr>
              <w:t>ement the recommended measures.</w:t>
            </w:r>
          </w:p>
        </w:tc>
        <w:tc>
          <w:tcPr>
            <w:tcW w:w="1843" w:type="dxa"/>
            <w:shd w:val="clear" w:color="auto" w:fill="auto"/>
          </w:tcPr>
          <w:p w14:paraId="2377816C"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Agriculture</w:t>
            </w:r>
          </w:p>
          <w:p w14:paraId="3AACC687"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Environmental Protection</w:t>
            </w:r>
          </w:p>
          <w:p w14:paraId="11490F06"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Mitigation Co-benefits</w:t>
            </w:r>
          </w:p>
        </w:tc>
        <w:tc>
          <w:tcPr>
            <w:tcW w:w="1417" w:type="dxa"/>
            <w:shd w:val="clear" w:color="auto" w:fill="auto"/>
          </w:tcPr>
          <w:p w14:paraId="3AD214D3" w14:textId="77777777" w:rsidR="00AD3320" w:rsidRPr="009B5B67" w:rsidRDefault="00AD3320" w:rsidP="008245F4">
            <w:pPr>
              <w:rPr>
                <w:rFonts w:cs="Arial"/>
                <w:sz w:val="18"/>
                <w:szCs w:val="18"/>
                <w:lang w:val="en-GB"/>
              </w:rPr>
            </w:pPr>
            <w:r w:rsidRPr="009B5B67">
              <w:rPr>
                <w:rFonts w:cs="Arial"/>
                <w:sz w:val="18"/>
                <w:szCs w:val="18"/>
                <w:lang w:val="en-GB"/>
              </w:rPr>
              <w:t xml:space="preserve">Ministry of Agriculture, Forestry and Water Management </w:t>
            </w:r>
          </w:p>
        </w:tc>
        <w:tc>
          <w:tcPr>
            <w:tcW w:w="1985" w:type="dxa"/>
            <w:shd w:val="clear" w:color="auto" w:fill="auto"/>
          </w:tcPr>
          <w:p w14:paraId="2875AC9C" w14:textId="77777777" w:rsidR="00AD3320" w:rsidRPr="009B5B67" w:rsidRDefault="00AD3320" w:rsidP="008245F4">
            <w:pPr>
              <w:rPr>
                <w:rFonts w:cs="Arial"/>
                <w:sz w:val="18"/>
                <w:szCs w:val="18"/>
                <w:lang w:val="en-GB"/>
              </w:rPr>
            </w:pPr>
            <w:r w:rsidRPr="009B5B67">
              <w:rPr>
                <w:rFonts w:cs="Arial"/>
                <w:sz w:val="18"/>
                <w:szCs w:val="18"/>
                <w:lang w:val="en-GB"/>
              </w:rPr>
              <w:t>Number of agricultural households with granted state subventions for implementation of the recommended measures</w:t>
            </w:r>
          </w:p>
          <w:p w14:paraId="456B9ADD" w14:textId="77777777" w:rsidR="00AD3320" w:rsidRPr="009B5B67" w:rsidRDefault="00AD3320" w:rsidP="008245F4">
            <w:pPr>
              <w:rPr>
                <w:rFonts w:cs="Arial"/>
                <w:sz w:val="18"/>
                <w:szCs w:val="18"/>
                <w:lang w:val="en-GB"/>
              </w:rPr>
            </w:pPr>
            <w:r w:rsidRPr="009B5B67">
              <w:rPr>
                <w:rFonts w:cs="Arial"/>
                <w:sz w:val="18"/>
                <w:szCs w:val="18"/>
                <w:lang w:val="en-GB"/>
              </w:rPr>
              <w:t>(Agricultural Advisory Service)</w:t>
            </w:r>
          </w:p>
        </w:tc>
        <w:tc>
          <w:tcPr>
            <w:tcW w:w="2410" w:type="dxa"/>
            <w:shd w:val="clear" w:color="auto" w:fill="auto"/>
          </w:tcPr>
          <w:p w14:paraId="4C20E0FC" w14:textId="77777777" w:rsidR="00AD3320" w:rsidRPr="009B5B67" w:rsidRDefault="00AD3320" w:rsidP="008245F4">
            <w:pPr>
              <w:rPr>
                <w:rFonts w:cs="Arial"/>
                <w:sz w:val="18"/>
                <w:szCs w:val="18"/>
                <w:lang w:val="en-GB"/>
              </w:rPr>
            </w:pPr>
            <w:r w:rsidRPr="009B5B67">
              <w:rPr>
                <w:rFonts w:cs="Arial"/>
                <w:sz w:val="18"/>
                <w:szCs w:val="18"/>
                <w:lang w:val="en-GB"/>
              </w:rPr>
              <w:t>From 1.000.000 EUR to 10.000.000 EUR</w:t>
            </w:r>
          </w:p>
        </w:tc>
        <w:tc>
          <w:tcPr>
            <w:tcW w:w="1588" w:type="dxa"/>
            <w:shd w:val="clear" w:color="auto" w:fill="auto"/>
          </w:tcPr>
          <w:p w14:paraId="2463EF14" w14:textId="77777777" w:rsidR="00AD3320" w:rsidRPr="009B5B67" w:rsidRDefault="00AD3320" w:rsidP="008245F4">
            <w:pPr>
              <w:rPr>
                <w:rFonts w:cs="Arial"/>
                <w:sz w:val="18"/>
                <w:szCs w:val="18"/>
                <w:lang w:val="en-GB"/>
              </w:rPr>
            </w:pPr>
            <w:r w:rsidRPr="009B5B67">
              <w:rPr>
                <w:rFonts w:cs="Arial"/>
                <w:sz w:val="18"/>
                <w:szCs w:val="18"/>
                <w:lang w:val="en-GB"/>
              </w:rPr>
              <w:t>Budget (IPARD)</w:t>
            </w:r>
          </w:p>
          <w:p w14:paraId="28D78957"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p w14:paraId="6FBC957C" w14:textId="77777777" w:rsidR="00AD3320" w:rsidRPr="009B5B67" w:rsidRDefault="00AD3320" w:rsidP="008245F4">
            <w:pPr>
              <w:rPr>
                <w:rFonts w:cs="Arial"/>
                <w:sz w:val="18"/>
                <w:szCs w:val="18"/>
                <w:lang w:val="en-GB"/>
              </w:rPr>
            </w:pPr>
            <w:r w:rsidRPr="009B5B67">
              <w:rPr>
                <w:rFonts w:cs="Arial"/>
                <w:sz w:val="18"/>
                <w:szCs w:val="18"/>
                <w:lang w:val="en-GB"/>
              </w:rPr>
              <w:t>Private funding</w:t>
            </w:r>
          </w:p>
        </w:tc>
      </w:tr>
      <w:tr w:rsidR="00AD3320" w:rsidRPr="009B5B67" w14:paraId="73A4B320" w14:textId="77777777" w:rsidTr="008245F4">
        <w:trPr>
          <w:cantSplit/>
          <w:trHeight w:val="20"/>
        </w:trPr>
        <w:tc>
          <w:tcPr>
            <w:tcW w:w="534" w:type="dxa"/>
            <w:vMerge/>
            <w:shd w:val="clear" w:color="auto" w:fill="FFEA8F"/>
            <w:textDirection w:val="btLr"/>
            <w:vAlign w:val="center"/>
          </w:tcPr>
          <w:p w14:paraId="44C8521E"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54033266" w14:textId="77777777" w:rsidR="00AD3320" w:rsidRPr="009B5B67" w:rsidRDefault="00AD3320" w:rsidP="008245F4">
            <w:pPr>
              <w:rPr>
                <w:rFonts w:cs="Arial"/>
                <w:sz w:val="18"/>
                <w:szCs w:val="18"/>
                <w:lang w:val="en-GB"/>
              </w:rPr>
            </w:pPr>
            <w:r w:rsidRPr="009B5B67">
              <w:rPr>
                <w:rFonts w:cs="Arial"/>
                <w:sz w:val="18"/>
                <w:szCs w:val="18"/>
                <w:lang w:val="en-GB"/>
              </w:rPr>
              <w:t>Improvement of the use of meteorological and climatological information for planning in agriculture</w:t>
            </w:r>
          </w:p>
        </w:tc>
        <w:tc>
          <w:tcPr>
            <w:tcW w:w="2268" w:type="dxa"/>
            <w:shd w:val="clear" w:color="auto" w:fill="auto"/>
          </w:tcPr>
          <w:p w14:paraId="19B1434E" w14:textId="77777777" w:rsidR="00AD3320" w:rsidRPr="009B5B67" w:rsidRDefault="00AD3320" w:rsidP="008245F4">
            <w:pPr>
              <w:rPr>
                <w:rFonts w:cs="Arial"/>
                <w:sz w:val="18"/>
                <w:szCs w:val="18"/>
                <w:lang w:val="en-GB"/>
              </w:rPr>
            </w:pPr>
            <w:r w:rsidRPr="009B5B67">
              <w:rPr>
                <w:rFonts w:cs="Arial"/>
                <w:sz w:val="18"/>
                <w:szCs w:val="18"/>
                <w:lang w:val="en-GB"/>
              </w:rPr>
              <w:t>Improvement of the agrometeorological monitoring systems. Improvement and promotion of agrometeorological short-term and long-term forecasts products.</w:t>
            </w:r>
          </w:p>
        </w:tc>
        <w:tc>
          <w:tcPr>
            <w:tcW w:w="1843" w:type="dxa"/>
            <w:shd w:val="clear" w:color="auto" w:fill="auto"/>
          </w:tcPr>
          <w:p w14:paraId="406FCF6B" w14:textId="77777777" w:rsidR="00AD3320" w:rsidRPr="009B5B67" w:rsidRDefault="00AD3320" w:rsidP="008245F4">
            <w:pPr>
              <w:rPr>
                <w:rFonts w:cs="Arial"/>
                <w:sz w:val="18"/>
                <w:szCs w:val="18"/>
                <w:lang w:val="en-GB"/>
              </w:rPr>
            </w:pPr>
            <w:r w:rsidRPr="009B5B67">
              <w:rPr>
                <w:rFonts w:cs="Arial"/>
                <w:sz w:val="18"/>
                <w:szCs w:val="18"/>
                <w:lang w:val="en-GB"/>
              </w:rPr>
              <w:t>Agriculture</w:t>
            </w:r>
          </w:p>
          <w:p w14:paraId="1C750BAC" w14:textId="77777777" w:rsidR="00AD3320" w:rsidRPr="009B5B67" w:rsidRDefault="00AD3320" w:rsidP="008245F4">
            <w:pPr>
              <w:rPr>
                <w:rFonts w:cs="Arial"/>
                <w:sz w:val="18"/>
                <w:szCs w:val="18"/>
                <w:lang w:val="en-GB"/>
              </w:rPr>
            </w:pPr>
          </w:p>
        </w:tc>
        <w:tc>
          <w:tcPr>
            <w:tcW w:w="1417" w:type="dxa"/>
            <w:shd w:val="clear" w:color="auto" w:fill="auto"/>
          </w:tcPr>
          <w:p w14:paraId="514D8A1E" w14:textId="77777777" w:rsidR="00AD3320" w:rsidRPr="009B5B67" w:rsidRDefault="00AD3320" w:rsidP="008245F4">
            <w:pPr>
              <w:rPr>
                <w:rFonts w:cs="Arial"/>
                <w:sz w:val="18"/>
                <w:szCs w:val="18"/>
                <w:lang w:val="en-GB"/>
              </w:rPr>
            </w:pPr>
            <w:r w:rsidRPr="009B5B67">
              <w:rPr>
                <w:rFonts w:cs="Arial"/>
                <w:sz w:val="18"/>
                <w:szCs w:val="18"/>
                <w:lang w:val="en-GB"/>
              </w:rPr>
              <w:t>Ministry of Agriculture, Forestry and Water Management</w:t>
            </w:r>
          </w:p>
          <w:p w14:paraId="26B8896D" w14:textId="0A4C1C50" w:rsidR="00AD3320" w:rsidRPr="009B5B67" w:rsidRDefault="00AD3320" w:rsidP="008245F4">
            <w:pPr>
              <w:rPr>
                <w:rFonts w:cs="Arial"/>
                <w:sz w:val="18"/>
                <w:szCs w:val="18"/>
                <w:lang w:val="en-GB"/>
              </w:rPr>
            </w:pPr>
            <w:r w:rsidRPr="009B5B67">
              <w:rPr>
                <w:rFonts w:cs="Arial"/>
                <w:sz w:val="18"/>
                <w:szCs w:val="18"/>
                <w:lang w:val="en-GB"/>
              </w:rPr>
              <w:t>Republic Hydro</w:t>
            </w:r>
            <w:r w:rsidR="000324FE">
              <w:rPr>
                <w:rFonts w:cs="Arial"/>
                <w:sz w:val="18"/>
                <w:szCs w:val="18"/>
                <w:lang w:val="en-GB"/>
              </w:rPr>
              <w:t>-</w:t>
            </w:r>
            <w:r w:rsidRPr="009B5B67">
              <w:rPr>
                <w:rFonts w:cs="Arial"/>
                <w:sz w:val="18"/>
                <w:szCs w:val="18"/>
                <w:lang w:val="en-GB"/>
              </w:rPr>
              <w:t>meteorological Service of Serbia</w:t>
            </w:r>
          </w:p>
        </w:tc>
        <w:tc>
          <w:tcPr>
            <w:tcW w:w="1985" w:type="dxa"/>
            <w:shd w:val="clear" w:color="auto" w:fill="auto"/>
          </w:tcPr>
          <w:p w14:paraId="107CDCFD" w14:textId="77777777" w:rsidR="00AD3320" w:rsidRPr="009B5B67" w:rsidRDefault="00AD3320" w:rsidP="008245F4">
            <w:pPr>
              <w:rPr>
                <w:rFonts w:cs="Arial"/>
                <w:sz w:val="18"/>
                <w:szCs w:val="18"/>
                <w:lang w:val="en-GB"/>
              </w:rPr>
            </w:pPr>
            <w:r w:rsidRPr="009B5B67">
              <w:rPr>
                <w:rFonts w:cs="Arial"/>
                <w:sz w:val="18"/>
                <w:szCs w:val="18"/>
                <w:lang w:val="en-GB"/>
              </w:rPr>
              <w:t>Number of agrometeorological forecasts users (Agricultural Advisory Service, Republic Hydrometeorological Service of Serbia)</w:t>
            </w:r>
          </w:p>
        </w:tc>
        <w:tc>
          <w:tcPr>
            <w:tcW w:w="2410" w:type="dxa"/>
            <w:shd w:val="clear" w:color="auto" w:fill="auto"/>
          </w:tcPr>
          <w:p w14:paraId="213686D7" w14:textId="77777777" w:rsidR="00AD3320" w:rsidRPr="009B5B67" w:rsidRDefault="00AD3320" w:rsidP="008245F4">
            <w:pPr>
              <w:rPr>
                <w:rFonts w:cs="Arial"/>
                <w:sz w:val="18"/>
                <w:szCs w:val="18"/>
                <w:lang w:val="en-GB"/>
              </w:rPr>
            </w:pPr>
            <w:r w:rsidRPr="009B5B67">
              <w:rPr>
                <w:rFonts w:cs="Arial"/>
                <w:sz w:val="18"/>
                <w:szCs w:val="18"/>
                <w:lang w:val="en-GB"/>
              </w:rPr>
              <w:t>From 1.000.000 EUR to 10.000.000 EUR</w:t>
            </w:r>
          </w:p>
        </w:tc>
        <w:tc>
          <w:tcPr>
            <w:tcW w:w="1588" w:type="dxa"/>
            <w:shd w:val="clear" w:color="auto" w:fill="auto"/>
          </w:tcPr>
          <w:p w14:paraId="43DFB109" w14:textId="77777777" w:rsidR="00AD3320" w:rsidRPr="009B5B67" w:rsidRDefault="00AD3320" w:rsidP="008245F4">
            <w:pPr>
              <w:rPr>
                <w:rFonts w:cs="Arial"/>
                <w:sz w:val="18"/>
                <w:szCs w:val="18"/>
                <w:lang w:val="en-GB"/>
              </w:rPr>
            </w:pPr>
            <w:r w:rsidRPr="009B5B67">
              <w:rPr>
                <w:rFonts w:cs="Arial"/>
                <w:sz w:val="18"/>
                <w:szCs w:val="18"/>
                <w:lang w:val="en-GB"/>
              </w:rPr>
              <w:t>Budget (IPARD)</w:t>
            </w:r>
          </w:p>
          <w:p w14:paraId="77977252"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p w14:paraId="08099BA5" w14:textId="77777777" w:rsidR="00AD3320" w:rsidRPr="009B5B67" w:rsidRDefault="00AD3320" w:rsidP="008245F4">
            <w:pPr>
              <w:rPr>
                <w:rFonts w:cs="Arial"/>
                <w:sz w:val="18"/>
                <w:szCs w:val="18"/>
                <w:lang w:val="en-GB"/>
              </w:rPr>
            </w:pPr>
            <w:r w:rsidRPr="009B5B67">
              <w:rPr>
                <w:rFonts w:cs="Arial"/>
                <w:sz w:val="18"/>
                <w:szCs w:val="18"/>
                <w:lang w:val="en-GB"/>
              </w:rPr>
              <w:t>International projects</w:t>
            </w:r>
          </w:p>
        </w:tc>
      </w:tr>
      <w:tr w:rsidR="00AD3320" w:rsidRPr="000324FE" w14:paraId="58F43E2F" w14:textId="77777777" w:rsidTr="008245F4">
        <w:trPr>
          <w:cantSplit/>
          <w:trHeight w:val="20"/>
        </w:trPr>
        <w:tc>
          <w:tcPr>
            <w:tcW w:w="534" w:type="dxa"/>
            <w:vMerge w:val="restart"/>
            <w:shd w:val="clear" w:color="auto" w:fill="DEEAF6" w:themeFill="accent5" w:themeFillTint="33"/>
            <w:textDirection w:val="btLr"/>
            <w:vAlign w:val="center"/>
          </w:tcPr>
          <w:p w14:paraId="1078B695" w14:textId="77777777" w:rsidR="00AD3320" w:rsidRPr="009B5B67" w:rsidRDefault="00AD3320" w:rsidP="008245F4">
            <w:pPr>
              <w:ind w:left="113" w:right="113"/>
              <w:jc w:val="center"/>
              <w:rPr>
                <w:rFonts w:cs="Arial"/>
                <w:sz w:val="18"/>
                <w:szCs w:val="18"/>
                <w:lang w:val="en-GB"/>
              </w:rPr>
            </w:pPr>
            <w:r w:rsidRPr="009B5B67">
              <w:rPr>
                <w:rFonts w:cs="Arial"/>
                <w:sz w:val="18"/>
                <w:szCs w:val="18"/>
                <w:lang w:val="en-GB"/>
              </w:rPr>
              <w:lastRenderedPageBreak/>
              <w:t>WATER MANAGEMENT</w:t>
            </w:r>
          </w:p>
        </w:tc>
        <w:tc>
          <w:tcPr>
            <w:tcW w:w="1984" w:type="dxa"/>
            <w:shd w:val="clear" w:color="auto" w:fill="auto"/>
          </w:tcPr>
          <w:p w14:paraId="02013199" w14:textId="77777777" w:rsidR="00AD3320" w:rsidRPr="009B5B67" w:rsidRDefault="00AD3320" w:rsidP="008245F4">
            <w:pPr>
              <w:jc w:val="left"/>
              <w:rPr>
                <w:rFonts w:cs="Arial"/>
                <w:sz w:val="18"/>
                <w:szCs w:val="18"/>
                <w:lang w:val="en-GB"/>
              </w:rPr>
            </w:pPr>
            <w:r w:rsidRPr="009B5B67">
              <w:rPr>
                <w:rFonts w:cs="Arial"/>
                <w:sz w:val="18"/>
                <w:szCs w:val="18"/>
                <w:lang w:val="en-GB"/>
              </w:rPr>
              <w:t>Increasing efficiency of water supply systems</w:t>
            </w:r>
          </w:p>
        </w:tc>
        <w:tc>
          <w:tcPr>
            <w:tcW w:w="2268" w:type="dxa"/>
            <w:shd w:val="clear" w:color="auto" w:fill="auto"/>
          </w:tcPr>
          <w:p w14:paraId="02D8684B" w14:textId="77777777" w:rsidR="00AD3320" w:rsidRPr="009B5B67" w:rsidRDefault="00AD3320" w:rsidP="008245F4">
            <w:pPr>
              <w:jc w:val="left"/>
              <w:rPr>
                <w:rFonts w:cs="Arial"/>
                <w:sz w:val="18"/>
                <w:szCs w:val="18"/>
                <w:lang w:val="en-GB"/>
              </w:rPr>
            </w:pPr>
            <w:r w:rsidRPr="009B5B67">
              <w:rPr>
                <w:rFonts w:cs="Arial"/>
                <w:sz w:val="18"/>
                <w:szCs w:val="18"/>
                <w:lang w:val="en-GB"/>
              </w:rPr>
              <w:t>Decrease of water losses in water supply systems to 25% until year 2034 through regular maintenance, rehabilitation of existing systems, detection of water leaks and losses.</w:t>
            </w:r>
          </w:p>
        </w:tc>
        <w:tc>
          <w:tcPr>
            <w:tcW w:w="1843" w:type="dxa"/>
            <w:shd w:val="clear" w:color="auto" w:fill="auto"/>
          </w:tcPr>
          <w:p w14:paraId="4325B115"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Water Management</w:t>
            </w:r>
          </w:p>
        </w:tc>
        <w:tc>
          <w:tcPr>
            <w:tcW w:w="1417" w:type="dxa"/>
            <w:shd w:val="clear" w:color="auto" w:fill="auto"/>
          </w:tcPr>
          <w:p w14:paraId="18074712"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Republic Water Directorate</w:t>
            </w:r>
          </w:p>
        </w:tc>
        <w:tc>
          <w:tcPr>
            <w:tcW w:w="1985" w:type="dxa"/>
            <w:shd w:val="clear" w:color="auto" w:fill="auto"/>
          </w:tcPr>
          <w:p w14:paraId="6A3E4492" w14:textId="77777777" w:rsidR="00AD3320" w:rsidRPr="009B5B67" w:rsidRDefault="00AD3320" w:rsidP="008245F4">
            <w:pPr>
              <w:jc w:val="left"/>
              <w:rPr>
                <w:rFonts w:cs="Arial"/>
                <w:sz w:val="18"/>
                <w:szCs w:val="18"/>
                <w:lang w:val="en-GB"/>
              </w:rPr>
            </w:pPr>
            <w:r w:rsidRPr="009B5B67">
              <w:rPr>
                <w:rFonts w:cs="Arial"/>
                <w:sz w:val="18"/>
                <w:szCs w:val="18"/>
                <w:lang w:val="en-GB"/>
              </w:rPr>
              <w:t>Water losses in water supply systems (%)</w:t>
            </w:r>
          </w:p>
          <w:p w14:paraId="71D9765E" w14:textId="77777777" w:rsidR="00AD3320" w:rsidRPr="009B5B67" w:rsidRDefault="00AD3320" w:rsidP="008245F4">
            <w:pPr>
              <w:jc w:val="left"/>
              <w:rPr>
                <w:rFonts w:cs="Arial"/>
                <w:sz w:val="18"/>
                <w:szCs w:val="18"/>
                <w:lang w:val="en-GB"/>
              </w:rPr>
            </w:pPr>
            <w:r w:rsidRPr="009B5B67">
              <w:rPr>
                <w:rFonts w:cs="Arial"/>
                <w:sz w:val="18"/>
                <w:szCs w:val="18"/>
                <w:lang w:val="en-GB"/>
              </w:rPr>
              <w:t>(Statistical Office of the Republic of Serbia)</w:t>
            </w:r>
          </w:p>
        </w:tc>
        <w:tc>
          <w:tcPr>
            <w:tcW w:w="2410" w:type="dxa"/>
            <w:shd w:val="clear" w:color="auto" w:fill="auto"/>
          </w:tcPr>
          <w:p w14:paraId="3E9EF27A" w14:textId="77777777" w:rsidR="00AD3320" w:rsidRPr="009B5B67" w:rsidRDefault="00AD3320" w:rsidP="008245F4">
            <w:pPr>
              <w:jc w:val="left"/>
              <w:rPr>
                <w:rFonts w:cs="Arial"/>
                <w:sz w:val="18"/>
                <w:szCs w:val="18"/>
                <w:lang w:val="en-GB"/>
              </w:rPr>
            </w:pPr>
            <w:r w:rsidRPr="009B5B67">
              <w:rPr>
                <w:rFonts w:cs="Arial"/>
                <w:sz w:val="18"/>
                <w:szCs w:val="18"/>
                <w:lang w:val="en-GB"/>
              </w:rPr>
              <w:t>More than 100.000.000 EUR</w:t>
            </w:r>
          </w:p>
          <w:p w14:paraId="72C915BF" w14:textId="77777777" w:rsidR="00AD3320" w:rsidRPr="009B5B67" w:rsidRDefault="00AD3320" w:rsidP="008245F4">
            <w:pPr>
              <w:jc w:val="left"/>
              <w:rPr>
                <w:rFonts w:cs="Arial"/>
                <w:sz w:val="18"/>
                <w:szCs w:val="18"/>
                <w:lang w:val="en-GB"/>
              </w:rPr>
            </w:pPr>
          </w:p>
          <w:p w14:paraId="27544204" w14:textId="77777777" w:rsidR="00AD3320" w:rsidRPr="009B5B67" w:rsidRDefault="00AD3320" w:rsidP="008245F4">
            <w:pPr>
              <w:jc w:val="left"/>
              <w:rPr>
                <w:rFonts w:cs="Arial"/>
                <w:sz w:val="18"/>
                <w:szCs w:val="18"/>
                <w:lang w:val="en-GB"/>
              </w:rPr>
            </w:pPr>
            <w:r w:rsidRPr="009B5B67">
              <w:rPr>
                <w:rFonts w:cs="Arial"/>
                <w:sz w:val="18"/>
                <w:szCs w:val="18"/>
                <w:lang w:val="en-GB"/>
              </w:rPr>
              <w:t>(150.000.000 EUR proportionally from the Water Management Strategy)</w:t>
            </w:r>
          </w:p>
        </w:tc>
        <w:tc>
          <w:tcPr>
            <w:tcW w:w="1588" w:type="dxa"/>
            <w:shd w:val="clear" w:color="auto" w:fill="auto"/>
          </w:tcPr>
          <w:p w14:paraId="66755038"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3D935A19"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tc>
      </w:tr>
      <w:tr w:rsidR="00AD3320" w:rsidRPr="000324FE" w14:paraId="4F837B83" w14:textId="77777777" w:rsidTr="008245F4">
        <w:trPr>
          <w:cantSplit/>
          <w:trHeight w:val="20"/>
        </w:trPr>
        <w:tc>
          <w:tcPr>
            <w:tcW w:w="534" w:type="dxa"/>
            <w:vMerge/>
            <w:shd w:val="clear" w:color="auto" w:fill="DEEAF6" w:themeFill="accent5" w:themeFillTint="33"/>
            <w:textDirection w:val="btLr"/>
            <w:vAlign w:val="center"/>
          </w:tcPr>
          <w:p w14:paraId="2D026765"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50454AC2" w14:textId="77777777" w:rsidR="00AD3320" w:rsidRPr="009B5B67" w:rsidRDefault="00AD3320" w:rsidP="008245F4">
            <w:pPr>
              <w:jc w:val="left"/>
              <w:rPr>
                <w:rFonts w:cs="Arial"/>
                <w:sz w:val="18"/>
                <w:szCs w:val="18"/>
                <w:lang w:val="en-GB"/>
              </w:rPr>
            </w:pPr>
            <w:r w:rsidRPr="009B5B67">
              <w:rPr>
                <w:rFonts w:cs="Arial"/>
                <w:sz w:val="18"/>
                <w:szCs w:val="18"/>
                <w:lang w:val="en-GB"/>
              </w:rPr>
              <w:t>Improving protection of water springs and preservation of water quality</w:t>
            </w:r>
          </w:p>
          <w:p w14:paraId="0D51CFBE" w14:textId="77777777" w:rsidR="00AD3320" w:rsidRPr="009B5B67" w:rsidRDefault="00AD3320" w:rsidP="008245F4">
            <w:pPr>
              <w:jc w:val="left"/>
              <w:rPr>
                <w:rFonts w:cs="Arial"/>
                <w:sz w:val="18"/>
                <w:szCs w:val="18"/>
                <w:lang w:val="en-GB"/>
              </w:rPr>
            </w:pPr>
          </w:p>
          <w:p w14:paraId="169B68A5" w14:textId="77777777" w:rsidR="00AD3320" w:rsidRPr="009B5B67" w:rsidRDefault="00AD3320" w:rsidP="008245F4">
            <w:pPr>
              <w:jc w:val="left"/>
              <w:rPr>
                <w:rFonts w:cs="Arial"/>
                <w:sz w:val="18"/>
                <w:szCs w:val="18"/>
                <w:lang w:val="en-GB"/>
              </w:rPr>
            </w:pPr>
          </w:p>
        </w:tc>
        <w:tc>
          <w:tcPr>
            <w:tcW w:w="2268" w:type="dxa"/>
            <w:shd w:val="clear" w:color="auto" w:fill="auto"/>
          </w:tcPr>
          <w:p w14:paraId="630A3364" w14:textId="77777777" w:rsidR="00AD3320" w:rsidRPr="009B5B67" w:rsidRDefault="00AD3320" w:rsidP="008245F4">
            <w:pPr>
              <w:jc w:val="left"/>
              <w:rPr>
                <w:rFonts w:cs="Arial"/>
                <w:sz w:val="18"/>
                <w:szCs w:val="18"/>
                <w:lang w:val="en-GB"/>
              </w:rPr>
            </w:pPr>
            <w:r w:rsidRPr="009B5B67">
              <w:rPr>
                <w:rFonts w:cs="Arial"/>
                <w:sz w:val="18"/>
                <w:szCs w:val="18"/>
                <w:lang w:val="en-GB"/>
              </w:rPr>
              <w:t>Establish monitoring of relevant parameters for surface and ground water quality, determine sanitary protection zones at water springs, implement protective measures, and control pollution inputs</w:t>
            </w:r>
          </w:p>
        </w:tc>
        <w:tc>
          <w:tcPr>
            <w:tcW w:w="1843" w:type="dxa"/>
            <w:shd w:val="clear" w:color="auto" w:fill="auto"/>
          </w:tcPr>
          <w:p w14:paraId="19627F0A"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Water Management Agriculture</w:t>
            </w:r>
          </w:p>
          <w:p w14:paraId="72B051D6"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Environmental Protection</w:t>
            </w:r>
          </w:p>
          <w:p w14:paraId="71406936"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Public Health</w:t>
            </w:r>
          </w:p>
        </w:tc>
        <w:tc>
          <w:tcPr>
            <w:tcW w:w="1417" w:type="dxa"/>
            <w:shd w:val="clear" w:color="auto" w:fill="auto"/>
          </w:tcPr>
          <w:p w14:paraId="4F11412A"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Republic Water Directorate</w:t>
            </w:r>
          </w:p>
        </w:tc>
        <w:tc>
          <w:tcPr>
            <w:tcW w:w="1985" w:type="dxa"/>
            <w:shd w:val="clear" w:color="auto" w:fill="auto"/>
          </w:tcPr>
          <w:p w14:paraId="63FDCE88" w14:textId="77777777" w:rsidR="00AD3320" w:rsidRPr="009B5B67" w:rsidRDefault="00AD3320" w:rsidP="008245F4">
            <w:pPr>
              <w:jc w:val="left"/>
              <w:rPr>
                <w:rFonts w:cs="Arial"/>
                <w:sz w:val="18"/>
                <w:szCs w:val="18"/>
                <w:lang w:val="en-GB"/>
              </w:rPr>
            </w:pPr>
            <w:r w:rsidRPr="009B5B67">
              <w:rPr>
                <w:rFonts w:cs="Arial"/>
                <w:sz w:val="18"/>
                <w:szCs w:val="18"/>
                <w:lang w:val="en-GB"/>
              </w:rPr>
              <w:t>Number of water springs with determined sanitary protection zones and established monitoring (Republic Water Directorate)</w:t>
            </w:r>
          </w:p>
        </w:tc>
        <w:tc>
          <w:tcPr>
            <w:tcW w:w="2410" w:type="dxa"/>
            <w:shd w:val="clear" w:color="auto" w:fill="auto"/>
          </w:tcPr>
          <w:p w14:paraId="1AE9354A" w14:textId="77777777" w:rsidR="00AD3320" w:rsidRPr="009B5B67" w:rsidRDefault="00AD3320" w:rsidP="008245F4">
            <w:pPr>
              <w:jc w:val="left"/>
              <w:rPr>
                <w:rFonts w:cs="Arial"/>
                <w:sz w:val="18"/>
                <w:szCs w:val="18"/>
                <w:lang w:val="en-GB"/>
              </w:rPr>
            </w:pPr>
            <w:r w:rsidRPr="009B5B67">
              <w:rPr>
                <w:rFonts w:cs="Arial"/>
                <w:sz w:val="18"/>
                <w:szCs w:val="18"/>
                <w:lang w:val="en-GB"/>
              </w:rPr>
              <w:t>From 100.000 EUR to 1.000.000 EUR</w:t>
            </w:r>
          </w:p>
        </w:tc>
        <w:tc>
          <w:tcPr>
            <w:tcW w:w="1588" w:type="dxa"/>
            <w:shd w:val="clear" w:color="auto" w:fill="auto"/>
          </w:tcPr>
          <w:p w14:paraId="7FAE1159"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53DC8FBF"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tc>
      </w:tr>
      <w:tr w:rsidR="00AD3320" w:rsidRPr="000324FE" w14:paraId="14D2CD2D" w14:textId="77777777" w:rsidTr="008245F4">
        <w:trPr>
          <w:cantSplit/>
          <w:trHeight w:val="20"/>
        </w:trPr>
        <w:tc>
          <w:tcPr>
            <w:tcW w:w="534" w:type="dxa"/>
            <w:vMerge/>
            <w:shd w:val="clear" w:color="auto" w:fill="DEEAF6" w:themeFill="accent5" w:themeFillTint="33"/>
            <w:textDirection w:val="btLr"/>
            <w:vAlign w:val="center"/>
          </w:tcPr>
          <w:p w14:paraId="0226245D"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0C4DBA1D" w14:textId="77777777" w:rsidR="00AD3320" w:rsidRPr="009B5B67" w:rsidRDefault="00AD3320" w:rsidP="008245F4">
            <w:pPr>
              <w:jc w:val="left"/>
              <w:rPr>
                <w:rFonts w:cs="Arial"/>
                <w:sz w:val="18"/>
                <w:szCs w:val="18"/>
                <w:lang w:val="en-GB"/>
              </w:rPr>
            </w:pPr>
            <w:r w:rsidRPr="009B5B67">
              <w:rPr>
                <w:rFonts w:cs="Arial"/>
                <w:sz w:val="18"/>
                <w:szCs w:val="18"/>
                <w:lang w:val="en-GB"/>
              </w:rPr>
              <w:t>Development of flood risk management plans</w:t>
            </w:r>
          </w:p>
        </w:tc>
        <w:tc>
          <w:tcPr>
            <w:tcW w:w="2268" w:type="dxa"/>
            <w:shd w:val="clear" w:color="auto" w:fill="auto"/>
          </w:tcPr>
          <w:p w14:paraId="1CE9921A" w14:textId="77777777" w:rsidR="00AD3320" w:rsidRPr="009B5B67" w:rsidRDefault="00AD3320" w:rsidP="008245F4">
            <w:pPr>
              <w:jc w:val="left"/>
              <w:rPr>
                <w:rFonts w:cs="Arial"/>
                <w:sz w:val="18"/>
                <w:szCs w:val="18"/>
                <w:lang w:val="en-GB"/>
              </w:rPr>
            </w:pPr>
            <w:r w:rsidRPr="009B5B67">
              <w:rPr>
                <w:rFonts w:cs="Arial"/>
                <w:sz w:val="18"/>
                <w:szCs w:val="18"/>
                <w:lang w:val="en-GB"/>
              </w:rPr>
              <w:t>Development of hazard maps, flood risk maps, and flood risk management plans on a national and watercourses level.</w:t>
            </w:r>
          </w:p>
        </w:tc>
        <w:tc>
          <w:tcPr>
            <w:tcW w:w="1843" w:type="dxa"/>
            <w:shd w:val="clear" w:color="auto" w:fill="auto"/>
          </w:tcPr>
          <w:p w14:paraId="4796B651"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Water Management Agriculture</w:t>
            </w:r>
          </w:p>
          <w:p w14:paraId="7BDD2BEF"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Forestry</w:t>
            </w:r>
          </w:p>
          <w:p w14:paraId="6EEB648F"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Biodiversity</w:t>
            </w:r>
          </w:p>
          <w:p w14:paraId="577DC227"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Environmental Protection</w:t>
            </w:r>
          </w:p>
          <w:p w14:paraId="0E8E23EB"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Public Health</w:t>
            </w:r>
          </w:p>
          <w:p w14:paraId="7E04A85D"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Infrastructure</w:t>
            </w:r>
          </w:p>
          <w:p w14:paraId="13BBE841"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Transportation</w:t>
            </w:r>
          </w:p>
          <w:p w14:paraId="2AC9D1D1"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Industry and Economy</w:t>
            </w:r>
          </w:p>
          <w:p w14:paraId="1B830E5A"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Energy</w:t>
            </w:r>
          </w:p>
        </w:tc>
        <w:tc>
          <w:tcPr>
            <w:tcW w:w="1417" w:type="dxa"/>
            <w:shd w:val="clear" w:color="auto" w:fill="auto"/>
          </w:tcPr>
          <w:p w14:paraId="0DCA5ADB"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Republic Water Directorate</w:t>
            </w:r>
          </w:p>
        </w:tc>
        <w:tc>
          <w:tcPr>
            <w:tcW w:w="1985" w:type="dxa"/>
            <w:shd w:val="clear" w:color="auto" w:fill="auto"/>
          </w:tcPr>
          <w:p w14:paraId="270C33F7" w14:textId="77777777" w:rsidR="00AD3320" w:rsidRPr="009B5B67" w:rsidRDefault="00AD3320" w:rsidP="008245F4">
            <w:pPr>
              <w:jc w:val="left"/>
              <w:rPr>
                <w:rFonts w:cs="Arial"/>
                <w:sz w:val="18"/>
                <w:szCs w:val="18"/>
                <w:lang w:val="en-GB"/>
              </w:rPr>
            </w:pPr>
            <w:r w:rsidRPr="009B5B67">
              <w:rPr>
                <w:rFonts w:cs="Arial"/>
                <w:sz w:val="18"/>
                <w:szCs w:val="18"/>
                <w:lang w:val="en-GB"/>
              </w:rPr>
              <w:t>Number of adopted flood risk maps and flood risk management plans</w:t>
            </w:r>
          </w:p>
          <w:p w14:paraId="1A324B3F" w14:textId="77777777" w:rsidR="00AD3320" w:rsidRPr="009B5B67" w:rsidRDefault="00AD3320" w:rsidP="008245F4">
            <w:pPr>
              <w:jc w:val="left"/>
              <w:rPr>
                <w:rFonts w:cs="Arial"/>
                <w:sz w:val="18"/>
                <w:szCs w:val="18"/>
                <w:lang w:val="en-GB"/>
              </w:rPr>
            </w:pPr>
            <w:r w:rsidRPr="009B5B67">
              <w:rPr>
                <w:rFonts w:cs="Arial"/>
                <w:sz w:val="18"/>
                <w:szCs w:val="18"/>
                <w:lang w:val="en-GB"/>
              </w:rPr>
              <w:t>(Public Water Management Companies, Republic Water Directorate)</w:t>
            </w:r>
          </w:p>
        </w:tc>
        <w:tc>
          <w:tcPr>
            <w:tcW w:w="2410" w:type="dxa"/>
            <w:shd w:val="clear" w:color="auto" w:fill="auto"/>
          </w:tcPr>
          <w:p w14:paraId="167D726D" w14:textId="77777777" w:rsidR="00AD3320" w:rsidRPr="009B5B67" w:rsidRDefault="00AD3320" w:rsidP="008245F4">
            <w:pPr>
              <w:jc w:val="left"/>
              <w:rPr>
                <w:rFonts w:cs="Arial"/>
                <w:sz w:val="18"/>
                <w:szCs w:val="18"/>
                <w:lang w:val="en-GB"/>
              </w:rPr>
            </w:pPr>
            <w:r w:rsidRPr="009B5B67">
              <w:rPr>
                <w:rFonts w:cs="Arial"/>
                <w:sz w:val="18"/>
                <w:szCs w:val="18"/>
                <w:lang w:val="en-GB"/>
              </w:rPr>
              <w:t>From 100.000 EUR to 1.000.000 EUR</w:t>
            </w:r>
          </w:p>
        </w:tc>
        <w:tc>
          <w:tcPr>
            <w:tcW w:w="1588" w:type="dxa"/>
            <w:shd w:val="clear" w:color="auto" w:fill="auto"/>
          </w:tcPr>
          <w:p w14:paraId="659B7E76"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194F5DEB"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tc>
      </w:tr>
      <w:tr w:rsidR="00AD3320" w:rsidRPr="000324FE" w14:paraId="73564445" w14:textId="77777777" w:rsidTr="008245F4">
        <w:trPr>
          <w:cantSplit/>
          <w:trHeight w:val="20"/>
        </w:trPr>
        <w:tc>
          <w:tcPr>
            <w:tcW w:w="534" w:type="dxa"/>
            <w:vMerge/>
            <w:shd w:val="clear" w:color="auto" w:fill="DEEAF6" w:themeFill="accent5" w:themeFillTint="33"/>
            <w:textDirection w:val="btLr"/>
            <w:vAlign w:val="center"/>
          </w:tcPr>
          <w:p w14:paraId="7615F1CA"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42E9C64C" w14:textId="77777777" w:rsidR="00AD3320" w:rsidRPr="009B5B67" w:rsidRDefault="00AD3320" w:rsidP="008245F4">
            <w:pPr>
              <w:jc w:val="left"/>
              <w:rPr>
                <w:rFonts w:cs="Arial"/>
                <w:sz w:val="18"/>
                <w:szCs w:val="18"/>
                <w:lang w:val="en-GB"/>
              </w:rPr>
            </w:pPr>
            <w:r w:rsidRPr="009B5B67">
              <w:rPr>
                <w:rFonts w:cs="Arial"/>
                <w:sz w:val="18"/>
                <w:szCs w:val="18"/>
                <w:lang w:val="en-GB"/>
              </w:rPr>
              <w:t>Improving protection against floods and flash floods</w:t>
            </w:r>
          </w:p>
        </w:tc>
        <w:tc>
          <w:tcPr>
            <w:tcW w:w="2268" w:type="dxa"/>
            <w:shd w:val="clear" w:color="auto" w:fill="auto"/>
          </w:tcPr>
          <w:p w14:paraId="1D692B73" w14:textId="77777777" w:rsidR="00AD3320" w:rsidRPr="009B5B67" w:rsidRDefault="00AD3320" w:rsidP="008245F4">
            <w:pPr>
              <w:jc w:val="left"/>
              <w:rPr>
                <w:rFonts w:cs="Arial"/>
                <w:sz w:val="18"/>
                <w:szCs w:val="18"/>
                <w:lang w:val="en-GB"/>
              </w:rPr>
            </w:pPr>
            <w:r w:rsidRPr="009B5B67">
              <w:rPr>
                <w:rFonts w:cs="Arial"/>
                <w:sz w:val="18"/>
                <w:szCs w:val="18"/>
                <w:lang w:val="en-GB"/>
              </w:rPr>
              <w:t>Building small barriers for flash floods and implementing additional anti-erosion measures on river basins</w:t>
            </w:r>
          </w:p>
        </w:tc>
        <w:tc>
          <w:tcPr>
            <w:tcW w:w="1843" w:type="dxa"/>
            <w:shd w:val="clear" w:color="auto" w:fill="auto"/>
          </w:tcPr>
          <w:p w14:paraId="66B4AC72"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Water Management Agriculture</w:t>
            </w:r>
          </w:p>
          <w:p w14:paraId="3C48912B"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Forestry</w:t>
            </w:r>
          </w:p>
          <w:p w14:paraId="46F5ECD9"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Biodiversity</w:t>
            </w:r>
          </w:p>
          <w:p w14:paraId="638C0C95"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Environmental Protection</w:t>
            </w:r>
          </w:p>
          <w:p w14:paraId="0ECBA279"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Public Health</w:t>
            </w:r>
          </w:p>
          <w:p w14:paraId="3524B67A"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Infrastructure</w:t>
            </w:r>
          </w:p>
          <w:p w14:paraId="5C793AD7"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Transportation</w:t>
            </w:r>
          </w:p>
          <w:p w14:paraId="31D31FC0"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Industry and Economy</w:t>
            </w:r>
          </w:p>
          <w:p w14:paraId="0B75D3D5"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Energy</w:t>
            </w:r>
          </w:p>
        </w:tc>
        <w:tc>
          <w:tcPr>
            <w:tcW w:w="1417" w:type="dxa"/>
            <w:shd w:val="clear" w:color="auto" w:fill="auto"/>
          </w:tcPr>
          <w:p w14:paraId="424C4601"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Republic Water Directorate,</w:t>
            </w:r>
          </w:p>
          <w:p w14:paraId="032673FA" w14:textId="77777777" w:rsidR="00AD3320" w:rsidRPr="009B5B67" w:rsidRDefault="00AD3320" w:rsidP="008245F4">
            <w:pPr>
              <w:jc w:val="left"/>
              <w:rPr>
                <w:rFonts w:cs="Arial"/>
                <w:sz w:val="18"/>
                <w:szCs w:val="18"/>
                <w:lang w:val="en-GB"/>
              </w:rPr>
            </w:pPr>
            <w:r w:rsidRPr="009B5B67">
              <w:rPr>
                <w:rFonts w:cs="Arial"/>
                <w:sz w:val="18"/>
                <w:szCs w:val="18"/>
                <w:lang w:val="en-GB"/>
              </w:rPr>
              <w:t>Republic Hydrometeorological Service of Serbia</w:t>
            </w:r>
          </w:p>
        </w:tc>
        <w:tc>
          <w:tcPr>
            <w:tcW w:w="1985" w:type="dxa"/>
            <w:shd w:val="clear" w:color="auto" w:fill="auto"/>
          </w:tcPr>
          <w:p w14:paraId="753BE89A" w14:textId="77777777" w:rsidR="00AD3320" w:rsidRPr="009B5B67" w:rsidRDefault="00AD3320" w:rsidP="008245F4">
            <w:pPr>
              <w:jc w:val="left"/>
              <w:rPr>
                <w:rFonts w:cs="Arial"/>
                <w:sz w:val="18"/>
                <w:szCs w:val="18"/>
                <w:lang w:val="en-GB"/>
              </w:rPr>
            </w:pPr>
            <w:r w:rsidRPr="009B5B67">
              <w:rPr>
                <w:rFonts w:cs="Arial"/>
                <w:sz w:val="18"/>
                <w:szCs w:val="18"/>
                <w:lang w:val="en-GB"/>
              </w:rPr>
              <w:t>Number of river basins with new barriers and/or implemented anti-erosion measures (Republic Water Directorate)</w:t>
            </w:r>
          </w:p>
        </w:tc>
        <w:tc>
          <w:tcPr>
            <w:tcW w:w="2410" w:type="dxa"/>
            <w:shd w:val="clear" w:color="auto" w:fill="auto"/>
          </w:tcPr>
          <w:p w14:paraId="1657514A" w14:textId="77777777" w:rsidR="00AD3320" w:rsidRPr="009B5B67" w:rsidRDefault="00AD3320" w:rsidP="008245F4">
            <w:pPr>
              <w:jc w:val="left"/>
              <w:rPr>
                <w:rFonts w:cs="Arial"/>
                <w:sz w:val="18"/>
                <w:szCs w:val="18"/>
                <w:lang w:val="en-GB"/>
              </w:rPr>
            </w:pPr>
            <w:r w:rsidRPr="009B5B67">
              <w:rPr>
                <w:rFonts w:cs="Arial"/>
                <w:sz w:val="18"/>
                <w:szCs w:val="18"/>
                <w:lang w:val="en-GB"/>
              </w:rPr>
              <w:t>More than 100.000.000 EUR</w:t>
            </w:r>
          </w:p>
          <w:p w14:paraId="2ED6394F" w14:textId="77777777" w:rsidR="00AD3320" w:rsidRPr="009B5B67" w:rsidRDefault="00AD3320" w:rsidP="008245F4">
            <w:pPr>
              <w:jc w:val="left"/>
              <w:rPr>
                <w:rFonts w:cs="Arial"/>
                <w:sz w:val="18"/>
                <w:szCs w:val="18"/>
                <w:lang w:val="en-GB"/>
              </w:rPr>
            </w:pPr>
          </w:p>
          <w:p w14:paraId="6B6152BB" w14:textId="77777777" w:rsidR="00AD3320" w:rsidRPr="009B5B67" w:rsidRDefault="00AD3320" w:rsidP="008245F4">
            <w:pPr>
              <w:jc w:val="left"/>
              <w:rPr>
                <w:rFonts w:cs="Arial"/>
                <w:sz w:val="18"/>
                <w:szCs w:val="18"/>
                <w:lang w:val="en-GB"/>
              </w:rPr>
            </w:pPr>
            <w:r w:rsidRPr="009B5B67">
              <w:rPr>
                <w:rFonts w:cs="Arial"/>
                <w:sz w:val="18"/>
                <w:szCs w:val="18"/>
                <w:lang w:val="en-GB"/>
              </w:rPr>
              <w:t>(120.000.000 EUR proportionally from the Water Management Strategy)</w:t>
            </w:r>
          </w:p>
        </w:tc>
        <w:tc>
          <w:tcPr>
            <w:tcW w:w="1588" w:type="dxa"/>
            <w:shd w:val="clear" w:color="auto" w:fill="auto"/>
          </w:tcPr>
          <w:p w14:paraId="0FAFB145"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623055BE"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tc>
      </w:tr>
      <w:tr w:rsidR="00AD3320" w:rsidRPr="000324FE" w14:paraId="1EAD5E0B" w14:textId="77777777" w:rsidTr="008245F4">
        <w:trPr>
          <w:cantSplit/>
          <w:trHeight w:val="20"/>
        </w:trPr>
        <w:tc>
          <w:tcPr>
            <w:tcW w:w="534" w:type="dxa"/>
            <w:vMerge/>
            <w:shd w:val="clear" w:color="auto" w:fill="DEEAF6" w:themeFill="accent5" w:themeFillTint="33"/>
            <w:textDirection w:val="btLr"/>
            <w:vAlign w:val="center"/>
          </w:tcPr>
          <w:p w14:paraId="4F85FAA2"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61ED0486" w14:textId="77777777" w:rsidR="00AD3320" w:rsidRPr="009B5B67" w:rsidRDefault="00AD3320" w:rsidP="008245F4">
            <w:pPr>
              <w:jc w:val="left"/>
              <w:rPr>
                <w:rFonts w:cs="Arial"/>
                <w:sz w:val="18"/>
                <w:szCs w:val="18"/>
                <w:lang w:val="en-GB"/>
              </w:rPr>
            </w:pPr>
            <w:r w:rsidRPr="009B5B67">
              <w:rPr>
                <w:rFonts w:cs="Arial"/>
                <w:sz w:val="18"/>
                <w:szCs w:val="18"/>
                <w:lang w:val="en-GB"/>
              </w:rPr>
              <w:t>Improving the water management in drought conditions and water shortage</w:t>
            </w:r>
          </w:p>
          <w:p w14:paraId="5CD36331" w14:textId="77777777" w:rsidR="00AD3320" w:rsidRPr="009B5B67" w:rsidRDefault="00AD3320" w:rsidP="008245F4">
            <w:pPr>
              <w:jc w:val="left"/>
              <w:rPr>
                <w:rFonts w:cs="Arial"/>
                <w:sz w:val="18"/>
                <w:szCs w:val="18"/>
                <w:lang w:val="en-GB"/>
              </w:rPr>
            </w:pPr>
          </w:p>
        </w:tc>
        <w:tc>
          <w:tcPr>
            <w:tcW w:w="2268" w:type="dxa"/>
            <w:shd w:val="clear" w:color="auto" w:fill="auto"/>
          </w:tcPr>
          <w:p w14:paraId="349138D3" w14:textId="77777777" w:rsidR="00AD3320" w:rsidRPr="009B5B67" w:rsidRDefault="00AD3320" w:rsidP="008245F4">
            <w:pPr>
              <w:jc w:val="left"/>
              <w:rPr>
                <w:rFonts w:cs="Arial"/>
                <w:sz w:val="18"/>
                <w:szCs w:val="18"/>
                <w:lang w:val="en-GB"/>
              </w:rPr>
            </w:pPr>
            <w:r w:rsidRPr="009B5B67">
              <w:rPr>
                <w:rFonts w:cs="Arial"/>
                <w:sz w:val="18"/>
                <w:szCs w:val="18"/>
                <w:lang w:val="en-GB"/>
              </w:rPr>
              <w:t>Development of drought management plans and recommendations for prevention and mitigation of drought effects</w:t>
            </w:r>
          </w:p>
        </w:tc>
        <w:tc>
          <w:tcPr>
            <w:tcW w:w="1843" w:type="dxa"/>
            <w:shd w:val="clear" w:color="auto" w:fill="auto"/>
          </w:tcPr>
          <w:p w14:paraId="423DD151"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Water Management Agriculture</w:t>
            </w:r>
          </w:p>
          <w:p w14:paraId="5893E206"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Forestry</w:t>
            </w:r>
          </w:p>
          <w:p w14:paraId="3C52D29A"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Biodiversity</w:t>
            </w:r>
          </w:p>
          <w:p w14:paraId="5066304A"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Environmental Protection</w:t>
            </w:r>
          </w:p>
          <w:p w14:paraId="7B57789F"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 xml:space="preserve">Public Health </w:t>
            </w:r>
          </w:p>
          <w:p w14:paraId="65BB619F"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Transportation</w:t>
            </w:r>
          </w:p>
          <w:p w14:paraId="609D0653" w14:textId="77777777" w:rsidR="00AD3320" w:rsidRPr="009B5B67" w:rsidRDefault="00AD3320" w:rsidP="008245F4">
            <w:pPr>
              <w:spacing w:after="60"/>
              <w:jc w:val="left"/>
              <w:rPr>
                <w:rFonts w:cs="Arial"/>
                <w:sz w:val="18"/>
                <w:szCs w:val="18"/>
                <w:lang w:val="en-GB"/>
              </w:rPr>
            </w:pPr>
            <w:r w:rsidRPr="009B5B67">
              <w:rPr>
                <w:rFonts w:cs="Arial"/>
                <w:sz w:val="18"/>
                <w:szCs w:val="18"/>
                <w:lang w:val="en-GB"/>
              </w:rPr>
              <w:t>Energy</w:t>
            </w:r>
          </w:p>
        </w:tc>
        <w:tc>
          <w:tcPr>
            <w:tcW w:w="1417" w:type="dxa"/>
            <w:shd w:val="clear" w:color="auto" w:fill="auto"/>
          </w:tcPr>
          <w:p w14:paraId="030877C5"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Republic Water Directorate,</w:t>
            </w:r>
          </w:p>
          <w:p w14:paraId="76E77D55" w14:textId="77777777" w:rsidR="00AD3320" w:rsidRPr="009B5B67" w:rsidRDefault="00AD3320" w:rsidP="008245F4">
            <w:pPr>
              <w:jc w:val="left"/>
              <w:rPr>
                <w:rFonts w:cs="Arial"/>
                <w:sz w:val="18"/>
                <w:szCs w:val="18"/>
                <w:lang w:val="en-GB"/>
              </w:rPr>
            </w:pPr>
            <w:r w:rsidRPr="009B5B67">
              <w:rPr>
                <w:rFonts w:cs="Arial"/>
                <w:sz w:val="18"/>
                <w:szCs w:val="18"/>
                <w:lang w:val="en-GB"/>
              </w:rPr>
              <w:t>Republic Hydrometeorological Service of Serbia</w:t>
            </w:r>
          </w:p>
        </w:tc>
        <w:tc>
          <w:tcPr>
            <w:tcW w:w="1985" w:type="dxa"/>
            <w:shd w:val="clear" w:color="auto" w:fill="auto"/>
          </w:tcPr>
          <w:p w14:paraId="29C00BA3" w14:textId="77777777" w:rsidR="00AD3320" w:rsidRPr="009B5B67" w:rsidRDefault="00AD3320" w:rsidP="008245F4">
            <w:pPr>
              <w:jc w:val="left"/>
              <w:rPr>
                <w:rFonts w:cs="Arial"/>
                <w:sz w:val="18"/>
                <w:szCs w:val="18"/>
                <w:lang w:val="en-GB"/>
              </w:rPr>
            </w:pPr>
            <w:r w:rsidRPr="009B5B67">
              <w:rPr>
                <w:rFonts w:cs="Arial"/>
                <w:sz w:val="18"/>
                <w:szCs w:val="18"/>
                <w:lang w:val="en-GB"/>
              </w:rPr>
              <w:t>Number of river basins with adopted drought management plans (Local self-government, Republic Water Directorate)</w:t>
            </w:r>
          </w:p>
        </w:tc>
        <w:tc>
          <w:tcPr>
            <w:tcW w:w="2410" w:type="dxa"/>
            <w:shd w:val="clear" w:color="auto" w:fill="auto"/>
          </w:tcPr>
          <w:p w14:paraId="478B2A08" w14:textId="77777777" w:rsidR="00AD3320" w:rsidRPr="009B5B67" w:rsidRDefault="00AD3320" w:rsidP="008245F4">
            <w:pPr>
              <w:jc w:val="left"/>
              <w:rPr>
                <w:rFonts w:cs="Arial"/>
                <w:sz w:val="18"/>
                <w:szCs w:val="18"/>
                <w:lang w:val="en-GB"/>
              </w:rPr>
            </w:pPr>
            <w:r w:rsidRPr="009B5B67">
              <w:rPr>
                <w:rFonts w:cs="Arial"/>
                <w:sz w:val="18"/>
                <w:szCs w:val="18"/>
                <w:lang w:val="en-GB"/>
              </w:rPr>
              <w:t>From 100.000 EUR to 1.000.000 EUR</w:t>
            </w:r>
          </w:p>
        </w:tc>
        <w:tc>
          <w:tcPr>
            <w:tcW w:w="1588" w:type="dxa"/>
            <w:shd w:val="clear" w:color="auto" w:fill="auto"/>
          </w:tcPr>
          <w:p w14:paraId="40D84920"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447A30C2"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tc>
      </w:tr>
      <w:tr w:rsidR="00AD3320" w:rsidRPr="000324FE" w14:paraId="2508AA4A" w14:textId="77777777" w:rsidTr="008245F4">
        <w:trPr>
          <w:cantSplit/>
          <w:trHeight w:val="20"/>
        </w:trPr>
        <w:tc>
          <w:tcPr>
            <w:tcW w:w="534" w:type="dxa"/>
            <w:vMerge/>
            <w:shd w:val="clear" w:color="auto" w:fill="DEEAF6" w:themeFill="accent5" w:themeFillTint="33"/>
            <w:textDirection w:val="btLr"/>
            <w:vAlign w:val="center"/>
          </w:tcPr>
          <w:p w14:paraId="7BFD7E1F"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46DC58F5"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Improving protection against inland flooding </w:t>
            </w:r>
          </w:p>
        </w:tc>
        <w:tc>
          <w:tcPr>
            <w:tcW w:w="2268" w:type="dxa"/>
            <w:shd w:val="clear" w:color="auto" w:fill="auto"/>
          </w:tcPr>
          <w:p w14:paraId="0E4D85D9" w14:textId="77777777" w:rsidR="00AD3320" w:rsidRPr="009B5B67" w:rsidRDefault="00AD3320" w:rsidP="008245F4">
            <w:pPr>
              <w:jc w:val="left"/>
              <w:rPr>
                <w:rFonts w:cs="Arial"/>
                <w:sz w:val="18"/>
                <w:szCs w:val="18"/>
                <w:lang w:val="en-GB"/>
              </w:rPr>
            </w:pPr>
            <w:r w:rsidRPr="009B5B67">
              <w:rPr>
                <w:rFonts w:cs="Arial"/>
                <w:sz w:val="18"/>
                <w:szCs w:val="18"/>
                <w:lang w:val="en-GB"/>
              </w:rPr>
              <w:t>Constructing the water objects and hydro-meliorative drainage systems.</w:t>
            </w:r>
          </w:p>
          <w:p w14:paraId="4F149D50" w14:textId="77777777" w:rsidR="00AD3320" w:rsidRPr="009B5B67" w:rsidRDefault="00AD3320" w:rsidP="008245F4">
            <w:pPr>
              <w:jc w:val="left"/>
              <w:rPr>
                <w:rFonts w:cs="Arial"/>
                <w:sz w:val="18"/>
                <w:szCs w:val="18"/>
                <w:lang w:val="en-GB"/>
              </w:rPr>
            </w:pPr>
            <w:r w:rsidRPr="009B5B67">
              <w:rPr>
                <w:rFonts w:cs="Arial"/>
                <w:sz w:val="18"/>
                <w:szCs w:val="18"/>
                <w:lang w:val="en-GB"/>
              </w:rPr>
              <w:t>Development of drainage network on new 100.000 ha of endanger areas until year 2034</w:t>
            </w:r>
          </w:p>
        </w:tc>
        <w:tc>
          <w:tcPr>
            <w:tcW w:w="1843" w:type="dxa"/>
            <w:shd w:val="clear" w:color="auto" w:fill="auto"/>
          </w:tcPr>
          <w:p w14:paraId="64E3EAD7" w14:textId="77777777" w:rsidR="00AD3320" w:rsidRPr="009B5B67" w:rsidRDefault="00AD3320" w:rsidP="008245F4">
            <w:pPr>
              <w:jc w:val="left"/>
              <w:rPr>
                <w:rFonts w:cs="Arial"/>
                <w:sz w:val="18"/>
                <w:szCs w:val="18"/>
                <w:lang w:val="en-GB"/>
              </w:rPr>
            </w:pPr>
            <w:r w:rsidRPr="009B5B67">
              <w:rPr>
                <w:rFonts w:cs="Arial"/>
                <w:sz w:val="18"/>
                <w:szCs w:val="18"/>
                <w:lang w:val="en-GB"/>
              </w:rPr>
              <w:t>Agriculture</w:t>
            </w:r>
          </w:p>
          <w:p w14:paraId="16B51FB6" w14:textId="77777777" w:rsidR="00AD3320" w:rsidRPr="009B5B67" w:rsidRDefault="00AD3320" w:rsidP="008245F4">
            <w:pPr>
              <w:jc w:val="left"/>
              <w:rPr>
                <w:rFonts w:cs="Arial"/>
                <w:sz w:val="18"/>
                <w:szCs w:val="18"/>
                <w:lang w:val="en-GB"/>
              </w:rPr>
            </w:pPr>
            <w:r w:rsidRPr="009B5B67">
              <w:rPr>
                <w:rFonts w:cs="Arial"/>
                <w:sz w:val="18"/>
                <w:szCs w:val="18"/>
                <w:lang w:val="en-GB"/>
              </w:rPr>
              <w:t>Water Management</w:t>
            </w:r>
          </w:p>
          <w:p w14:paraId="3D8E4848" w14:textId="77777777" w:rsidR="00AD3320" w:rsidRPr="009B5B67" w:rsidRDefault="00AD3320" w:rsidP="008245F4">
            <w:pPr>
              <w:jc w:val="left"/>
              <w:rPr>
                <w:rFonts w:cs="Arial"/>
                <w:sz w:val="18"/>
                <w:szCs w:val="18"/>
                <w:lang w:val="en-GB"/>
              </w:rPr>
            </w:pPr>
          </w:p>
        </w:tc>
        <w:tc>
          <w:tcPr>
            <w:tcW w:w="1417" w:type="dxa"/>
            <w:shd w:val="clear" w:color="auto" w:fill="auto"/>
          </w:tcPr>
          <w:p w14:paraId="1677D0B8"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Republic Water Directorate</w:t>
            </w:r>
          </w:p>
          <w:p w14:paraId="0D8EDF2A" w14:textId="77777777" w:rsidR="00AD3320" w:rsidRPr="009B5B67" w:rsidRDefault="00AD3320" w:rsidP="008245F4">
            <w:pPr>
              <w:jc w:val="left"/>
              <w:rPr>
                <w:rFonts w:cs="Arial"/>
                <w:sz w:val="18"/>
                <w:szCs w:val="18"/>
                <w:lang w:val="en-GB"/>
              </w:rPr>
            </w:pPr>
            <w:r w:rsidRPr="009B5B67">
              <w:rPr>
                <w:rFonts w:cs="Arial"/>
                <w:sz w:val="18"/>
                <w:szCs w:val="18"/>
                <w:lang w:val="en-GB"/>
              </w:rPr>
              <w:t>Public Water Management Companies</w:t>
            </w:r>
          </w:p>
        </w:tc>
        <w:tc>
          <w:tcPr>
            <w:tcW w:w="1985" w:type="dxa"/>
            <w:shd w:val="clear" w:color="auto" w:fill="auto"/>
          </w:tcPr>
          <w:p w14:paraId="3D140A33" w14:textId="77777777" w:rsidR="00AD3320" w:rsidRPr="009B5B67" w:rsidRDefault="00AD3320" w:rsidP="008245F4">
            <w:pPr>
              <w:jc w:val="left"/>
              <w:rPr>
                <w:rFonts w:cs="Arial"/>
                <w:sz w:val="18"/>
                <w:szCs w:val="18"/>
                <w:lang w:val="en-GB"/>
              </w:rPr>
            </w:pPr>
            <w:r w:rsidRPr="009B5B67">
              <w:rPr>
                <w:rFonts w:cs="Arial"/>
                <w:sz w:val="18"/>
                <w:szCs w:val="18"/>
                <w:lang w:val="en-GB"/>
              </w:rPr>
              <w:t>Area under drainage systems (ha)</w:t>
            </w:r>
          </w:p>
          <w:p w14:paraId="44D82C5B" w14:textId="77777777" w:rsidR="00AD3320" w:rsidRPr="009B5B67" w:rsidRDefault="00AD3320" w:rsidP="008245F4">
            <w:pPr>
              <w:jc w:val="left"/>
              <w:rPr>
                <w:rFonts w:cs="Arial"/>
                <w:sz w:val="18"/>
                <w:szCs w:val="18"/>
                <w:lang w:val="en-GB"/>
              </w:rPr>
            </w:pPr>
            <w:r w:rsidRPr="009B5B67">
              <w:rPr>
                <w:rFonts w:cs="Arial"/>
                <w:sz w:val="18"/>
                <w:szCs w:val="18"/>
                <w:lang w:val="en-GB"/>
              </w:rPr>
              <w:t>(Statistical Office of the Republic of Serbia)</w:t>
            </w:r>
          </w:p>
        </w:tc>
        <w:tc>
          <w:tcPr>
            <w:tcW w:w="2410" w:type="dxa"/>
            <w:shd w:val="clear" w:color="auto" w:fill="auto"/>
          </w:tcPr>
          <w:p w14:paraId="342A7321" w14:textId="77777777" w:rsidR="00AD3320" w:rsidRPr="009B5B67" w:rsidRDefault="00AD3320" w:rsidP="008245F4">
            <w:pPr>
              <w:jc w:val="left"/>
              <w:rPr>
                <w:rFonts w:cs="Arial"/>
                <w:sz w:val="18"/>
                <w:szCs w:val="18"/>
                <w:lang w:val="en-GB"/>
              </w:rPr>
            </w:pPr>
            <w:r w:rsidRPr="009B5B67">
              <w:rPr>
                <w:rFonts w:cs="Arial"/>
                <w:sz w:val="18"/>
                <w:szCs w:val="18"/>
                <w:lang w:val="en-GB"/>
              </w:rPr>
              <w:t>More than 100.000.000 EUR</w:t>
            </w:r>
          </w:p>
          <w:p w14:paraId="5B8F8B2F" w14:textId="77777777" w:rsidR="00AD3320" w:rsidRPr="009B5B67" w:rsidRDefault="00AD3320" w:rsidP="008245F4">
            <w:pPr>
              <w:jc w:val="left"/>
              <w:rPr>
                <w:rFonts w:cs="Arial"/>
                <w:sz w:val="18"/>
                <w:szCs w:val="18"/>
                <w:lang w:val="en-GB"/>
              </w:rPr>
            </w:pPr>
          </w:p>
          <w:p w14:paraId="2CDB6DE1" w14:textId="77777777" w:rsidR="00AD3320" w:rsidRPr="009B5B67" w:rsidRDefault="00AD3320" w:rsidP="008245F4">
            <w:pPr>
              <w:jc w:val="left"/>
              <w:rPr>
                <w:rFonts w:cs="Arial"/>
                <w:sz w:val="18"/>
                <w:szCs w:val="18"/>
                <w:lang w:val="en-GB"/>
              </w:rPr>
            </w:pPr>
            <w:r w:rsidRPr="009B5B67">
              <w:rPr>
                <w:rFonts w:cs="Arial"/>
                <w:sz w:val="18"/>
                <w:szCs w:val="18"/>
                <w:lang w:val="en-GB"/>
              </w:rPr>
              <w:t>(</w:t>
            </w:r>
            <w:proofErr w:type="gramStart"/>
            <w:r w:rsidRPr="009B5B67">
              <w:rPr>
                <w:rFonts w:cs="Arial"/>
                <w:sz w:val="18"/>
                <w:szCs w:val="18"/>
                <w:lang w:val="en-GB"/>
              </w:rPr>
              <w:t>about</w:t>
            </w:r>
            <w:proofErr w:type="gramEnd"/>
            <w:r w:rsidRPr="009B5B67">
              <w:rPr>
                <w:rFonts w:cs="Arial"/>
                <w:sz w:val="18"/>
                <w:szCs w:val="18"/>
                <w:lang w:val="en-GB"/>
              </w:rPr>
              <w:t xml:space="preserve"> 150.000.000 EUR proportionally from the Water Management Strategy)</w:t>
            </w:r>
          </w:p>
        </w:tc>
        <w:tc>
          <w:tcPr>
            <w:tcW w:w="1588" w:type="dxa"/>
            <w:shd w:val="clear" w:color="auto" w:fill="auto"/>
          </w:tcPr>
          <w:p w14:paraId="7913287A"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6F04C50E"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tc>
      </w:tr>
      <w:tr w:rsidR="00AD3320" w:rsidRPr="000324FE" w14:paraId="3148E4D0" w14:textId="77777777" w:rsidTr="008245F4">
        <w:trPr>
          <w:cantSplit/>
          <w:trHeight w:val="20"/>
        </w:trPr>
        <w:tc>
          <w:tcPr>
            <w:tcW w:w="534" w:type="dxa"/>
            <w:vMerge w:val="restart"/>
            <w:shd w:val="clear" w:color="auto" w:fill="C5E0B3" w:themeFill="accent6" w:themeFillTint="66"/>
            <w:textDirection w:val="btLr"/>
            <w:vAlign w:val="center"/>
          </w:tcPr>
          <w:p w14:paraId="5879AAA1" w14:textId="77777777" w:rsidR="00AD3320" w:rsidRPr="009B5B67" w:rsidRDefault="00AD3320" w:rsidP="008245F4">
            <w:pPr>
              <w:ind w:left="113" w:right="113"/>
              <w:jc w:val="center"/>
              <w:rPr>
                <w:rFonts w:cs="Arial"/>
                <w:sz w:val="18"/>
                <w:szCs w:val="18"/>
                <w:lang w:val="en-GB"/>
              </w:rPr>
            </w:pPr>
            <w:r w:rsidRPr="009B5B67">
              <w:rPr>
                <w:rFonts w:cs="Arial"/>
                <w:sz w:val="18"/>
                <w:szCs w:val="18"/>
                <w:lang w:val="en-GB"/>
              </w:rPr>
              <w:lastRenderedPageBreak/>
              <w:t>FORESTRY</w:t>
            </w:r>
          </w:p>
        </w:tc>
        <w:tc>
          <w:tcPr>
            <w:tcW w:w="1984" w:type="dxa"/>
            <w:shd w:val="clear" w:color="auto" w:fill="auto"/>
          </w:tcPr>
          <w:p w14:paraId="4E93C2D8" w14:textId="77777777" w:rsidR="00AD3320" w:rsidRPr="009B5B67" w:rsidRDefault="00AD3320" w:rsidP="008245F4">
            <w:pPr>
              <w:jc w:val="left"/>
              <w:rPr>
                <w:rFonts w:cs="Arial"/>
                <w:sz w:val="18"/>
                <w:szCs w:val="18"/>
                <w:lang w:val="en-GB"/>
              </w:rPr>
            </w:pPr>
            <w:r w:rsidRPr="009B5B67">
              <w:rPr>
                <w:rFonts w:cs="Arial"/>
                <w:sz w:val="18"/>
                <w:szCs w:val="18"/>
                <w:lang w:val="en-GB"/>
              </w:rPr>
              <w:t>Reforestation using climate adaptable tree species</w:t>
            </w:r>
          </w:p>
        </w:tc>
        <w:tc>
          <w:tcPr>
            <w:tcW w:w="2268" w:type="dxa"/>
            <w:shd w:val="clear" w:color="auto" w:fill="auto"/>
          </w:tcPr>
          <w:p w14:paraId="15A6C8F0"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Mapping and reforestation of 5.000 ha per year using climate adaptable tree species, until year 2030 </w:t>
            </w:r>
          </w:p>
        </w:tc>
        <w:tc>
          <w:tcPr>
            <w:tcW w:w="1843" w:type="dxa"/>
            <w:shd w:val="clear" w:color="auto" w:fill="auto"/>
          </w:tcPr>
          <w:p w14:paraId="3A776B51" w14:textId="77777777" w:rsidR="00AD3320" w:rsidRPr="009B5B67" w:rsidRDefault="00AD3320" w:rsidP="008245F4">
            <w:pPr>
              <w:jc w:val="left"/>
              <w:rPr>
                <w:rFonts w:cs="Arial"/>
                <w:sz w:val="18"/>
                <w:szCs w:val="18"/>
                <w:lang w:val="en-GB"/>
              </w:rPr>
            </w:pPr>
            <w:r w:rsidRPr="009B5B67">
              <w:rPr>
                <w:rFonts w:cs="Arial"/>
                <w:sz w:val="18"/>
                <w:szCs w:val="18"/>
                <w:lang w:val="en-GB"/>
              </w:rPr>
              <w:t>Forestry</w:t>
            </w:r>
          </w:p>
          <w:p w14:paraId="125CCAE2" w14:textId="77777777" w:rsidR="00AD3320" w:rsidRPr="009B5B67" w:rsidRDefault="00AD3320" w:rsidP="008245F4">
            <w:pPr>
              <w:jc w:val="left"/>
              <w:rPr>
                <w:rFonts w:cs="Arial"/>
                <w:sz w:val="18"/>
                <w:szCs w:val="18"/>
                <w:lang w:val="en-GB"/>
              </w:rPr>
            </w:pPr>
            <w:r w:rsidRPr="009B5B67">
              <w:rPr>
                <w:rFonts w:cs="Arial"/>
                <w:sz w:val="18"/>
                <w:szCs w:val="18"/>
                <w:lang w:val="en-GB"/>
              </w:rPr>
              <w:t>Environmental Protection</w:t>
            </w:r>
          </w:p>
          <w:p w14:paraId="0CE00C62" w14:textId="77777777" w:rsidR="00AD3320" w:rsidRPr="009B5B67" w:rsidRDefault="00AD3320" w:rsidP="008245F4">
            <w:pPr>
              <w:jc w:val="left"/>
              <w:rPr>
                <w:rFonts w:cs="Arial"/>
                <w:sz w:val="18"/>
                <w:szCs w:val="18"/>
                <w:lang w:val="en-GB"/>
              </w:rPr>
            </w:pPr>
            <w:r w:rsidRPr="009B5B67">
              <w:rPr>
                <w:rFonts w:cs="Arial"/>
                <w:sz w:val="18"/>
                <w:szCs w:val="18"/>
                <w:lang w:val="en-GB"/>
              </w:rPr>
              <w:t>Biodiversity</w:t>
            </w:r>
          </w:p>
          <w:p w14:paraId="0A47BBA2" w14:textId="77777777" w:rsidR="00AD3320" w:rsidRPr="009B5B67" w:rsidRDefault="00AD3320" w:rsidP="008245F4">
            <w:pPr>
              <w:jc w:val="left"/>
              <w:rPr>
                <w:rFonts w:cs="Arial"/>
                <w:sz w:val="18"/>
                <w:szCs w:val="18"/>
                <w:lang w:val="en-GB"/>
              </w:rPr>
            </w:pPr>
            <w:r w:rsidRPr="009B5B67">
              <w:rPr>
                <w:rFonts w:cs="Arial"/>
                <w:sz w:val="18"/>
                <w:szCs w:val="18"/>
                <w:lang w:val="en-GB"/>
              </w:rPr>
              <w:t>Mitigation Co-benefits</w:t>
            </w:r>
          </w:p>
        </w:tc>
        <w:tc>
          <w:tcPr>
            <w:tcW w:w="1417" w:type="dxa"/>
            <w:shd w:val="clear" w:color="auto" w:fill="auto"/>
          </w:tcPr>
          <w:p w14:paraId="7CF5F9E2"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Directorate of Forests</w:t>
            </w:r>
          </w:p>
        </w:tc>
        <w:tc>
          <w:tcPr>
            <w:tcW w:w="1985" w:type="dxa"/>
            <w:shd w:val="clear" w:color="auto" w:fill="auto"/>
          </w:tcPr>
          <w:p w14:paraId="0380509C" w14:textId="77777777" w:rsidR="00AD3320" w:rsidRPr="009B5B67" w:rsidRDefault="00AD3320" w:rsidP="008245F4">
            <w:pPr>
              <w:jc w:val="left"/>
              <w:rPr>
                <w:rFonts w:cs="Arial"/>
                <w:sz w:val="18"/>
                <w:szCs w:val="18"/>
                <w:lang w:val="en-GB"/>
              </w:rPr>
            </w:pPr>
            <w:r w:rsidRPr="009B5B67">
              <w:rPr>
                <w:rFonts w:cs="Arial"/>
                <w:sz w:val="18"/>
                <w:szCs w:val="18"/>
                <w:lang w:val="en-GB"/>
              </w:rPr>
              <w:t>Area under new forests with climate adaptable tree species (ha)</w:t>
            </w:r>
          </w:p>
          <w:p w14:paraId="6CA12DBC" w14:textId="77777777" w:rsidR="00AD3320" w:rsidRPr="009B5B67" w:rsidRDefault="00AD3320" w:rsidP="008245F4">
            <w:pPr>
              <w:jc w:val="left"/>
              <w:rPr>
                <w:rFonts w:cs="Arial"/>
                <w:sz w:val="18"/>
                <w:szCs w:val="18"/>
                <w:lang w:val="en-GB"/>
              </w:rPr>
            </w:pPr>
            <w:r w:rsidRPr="009B5B67">
              <w:rPr>
                <w:rFonts w:cs="Arial"/>
                <w:sz w:val="18"/>
                <w:szCs w:val="18"/>
                <w:lang w:val="en-GB"/>
              </w:rPr>
              <w:t>(Directorate of Forests, Statistical Office of the Republic of Serbia)</w:t>
            </w:r>
          </w:p>
        </w:tc>
        <w:tc>
          <w:tcPr>
            <w:tcW w:w="2410" w:type="dxa"/>
            <w:shd w:val="clear" w:color="auto" w:fill="auto"/>
          </w:tcPr>
          <w:p w14:paraId="7E6486EB" w14:textId="77777777" w:rsidR="00AD3320" w:rsidRPr="009B5B67" w:rsidRDefault="00AD3320" w:rsidP="008245F4">
            <w:pPr>
              <w:jc w:val="left"/>
              <w:rPr>
                <w:rFonts w:cs="Arial"/>
                <w:sz w:val="18"/>
                <w:szCs w:val="18"/>
                <w:lang w:val="en-GB"/>
              </w:rPr>
            </w:pPr>
            <w:r w:rsidRPr="009B5B67">
              <w:rPr>
                <w:rFonts w:cs="Arial"/>
                <w:sz w:val="18"/>
                <w:szCs w:val="18"/>
                <w:lang w:val="en-GB"/>
              </w:rPr>
              <w:t>From 10.000.000 EUR to 100.000.000 EUR</w:t>
            </w:r>
          </w:p>
          <w:p w14:paraId="7198EEDD" w14:textId="77777777" w:rsidR="00AD3320" w:rsidRPr="009B5B67" w:rsidRDefault="00AD3320" w:rsidP="008245F4">
            <w:pPr>
              <w:jc w:val="left"/>
              <w:rPr>
                <w:rFonts w:cs="Arial"/>
                <w:sz w:val="18"/>
                <w:szCs w:val="18"/>
                <w:lang w:val="en-GB"/>
              </w:rPr>
            </w:pPr>
          </w:p>
          <w:p w14:paraId="13107A1E" w14:textId="77777777" w:rsidR="00AD3320" w:rsidRPr="009B5B67" w:rsidRDefault="00AD3320" w:rsidP="008245F4">
            <w:pPr>
              <w:jc w:val="left"/>
              <w:rPr>
                <w:rFonts w:cs="Arial"/>
                <w:sz w:val="18"/>
                <w:szCs w:val="18"/>
                <w:lang w:val="en-GB"/>
              </w:rPr>
            </w:pPr>
            <w:r w:rsidRPr="009B5B67">
              <w:rPr>
                <w:rFonts w:cs="Arial"/>
                <w:sz w:val="18"/>
                <w:szCs w:val="18"/>
                <w:lang w:val="en-GB"/>
              </w:rPr>
              <w:t>(35.000.000 EUR Proposed Strategy of Low-Carbon Development)</w:t>
            </w:r>
          </w:p>
        </w:tc>
        <w:tc>
          <w:tcPr>
            <w:tcW w:w="1588" w:type="dxa"/>
            <w:shd w:val="clear" w:color="auto" w:fill="auto"/>
          </w:tcPr>
          <w:p w14:paraId="7A297EAD"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24EDB261"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p w14:paraId="4DE0ECB5" w14:textId="77777777" w:rsidR="00AD3320" w:rsidRPr="009B5B67" w:rsidRDefault="00AD3320" w:rsidP="008245F4">
            <w:pPr>
              <w:jc w:val="left"/>
              <w:rPr>
                <w:rFonts w:cs="Arial"/>
                <w:sz w:val="18"/>
                <w:szCs w:val="18"/>
                <w:lang w:val="en-GB"/>
              </w:rPr>
            </w:pPr>
            <w:r w:rsidRPr="009B5B67">
              <w:rPr>
                <w:rFonts w:cs="Arial"/>
                <w:sz w:val="18"/>
                <w:szCs w:val="18"/>
                <w:lang w:val="en-GB"/>
              </w:rPr>
              <w:t>Private funding</w:t>
            </w:r>
          </w:p>
          <w:p w14:paraId="48E5C1CE" w14:textId="77777777" w:rsidR="00AD3320" w:rsidRPr="009B5B67" w:rsidRDefault="00AD3320" w:rsidP="008245F4">
            <w:pPr>
              <w:jc w:val="left"/>
              <w:rPr>
                <w:rFonts w:cs="Arial"/>
                <w:sz w:val="18"/>
                <w:szCs w:val="18"/>
                <w:lang w:val="en-GB"/>
              </w:rPr>
            </w:pPr>
            <w:r w:rsidRPr="009B5B67">
              <w:rPr>
                <w:rFonts w:cs="Arial"/>
                <w:sz w:val="18"/>
                <w:szCs w:val="18"/>
                <w:lang w:val="en-GB"/>
              </w:rPr>
              <w:t>Innovative climate funding (Carbon market, green credit lines)</w:t>
            </w:r>
          </w:p>
        </w:tc>
      </w:tr>
      <w:tr w:rsidR="00AD3320" w:rsidRPr="000324FE" w14:paraId="32AF92F5" w14:textId="77777777" w:rsidTr="008245F4">
        <w:trPr>
          <w:cantSplit/>
          <w:trHeight w:val="20"/>
        </w:trPr>
        <w:tc>
          <w:tcPr>
            <w:tcW w:w="534" w:type="dxa"/>
            <w:vMerge/>
            <w:shd w:val="clear" w:color="auto" w:fill="C5E0B3" w:themeFill="accent6" w:themeFillTint="66"/>
            <w:textDirection w:val="btLr"/>
            <w:vAlign w:val="center"/>
          </w:tcPr>
          <w:p w14:paraId="547EC565"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1E67989F" w14:textId="77777777" w:rsidR="00AD3320" w:rsidRPr="009B5B67" w:rsidRDefault="00AD3320" w:rsidP="008245F4">
            <w:pPr>
              <w:jc w:val="left"/>
              <w:rPr>
                <w:rFonts w:cs="Arial"/>
                <w:sz w:val="18"/>
                <w:szCs w:val="18"/>
                <w:lang w:val="en-GB"/>
              </w:rPr>
            </w:pPr>
            <w:r w:rsidRPr="009B5B67">
              <w:rPr>
                <w:rFonts w:cs="Arial"/>
                <w:sz w:val="18"/>
                <w:szCs w:val="18"/>
                <w:lang w:val="en-GB"/>
              </w:rPr>
              <w:t>Adopting close-to-nature forest management and climate-smart forestry principles and approaches</w:t>
            </w:r>
          </w:p>
        </w:tc>
        <w:tc>
          <w:tcPr>
            <w:tcW w:w="2268" w:type="dxa"/>
            <w:shd w:val="clear" w:color="auto" w:fill="auto"/>
          </w:tcPr>
          <w:p w14:paraId="0756D8F1" w14:textId="77777777" w:rsidR="00AD3320" w:rsidRPr="009B5B67" w:rsidRDefault="00AD3320" w:rsidP="008245F4">
            <w:pPr>
              <w:jc w:val="left"/>
              <w:rPr>
                <w:rFonts w:cs="Arial"/>
                <w:sz w:val="18"/>
                <w:szCs w:val="18"/>
                <w:lang w:val="en-GB"/>
              </w:rPr>
            </w:pPr>
            <w:r w:rsidRPr="009B5B67">
              <w:rPr>
                <w:rFonts w:cs="Arial"/>
                <w:sz w:val="18"/>
                <w:szCs w:val="18"/>
                <w:lang w:val="en-GB"/>
              </w:rPr>
              <w:t>Promotion of tree species that are habitat appropriate, promotion of mixed forests, preservation and increase of genetic variations of tree species and promotion of natural forest regeneration</w:t>
            </w:r>
          </w:p>
        </w:tc>
        <w:tc>
          <w:tcPr>
            <w:tcW w:w="1843" w:type="dxa"/>
            <w:shd w:val="clear" w:color="auto" w:fill="auto"/>
          </w:tcPr>
          <w:p w14:paraId="29CD4C7A" w14:textId="77777777" w:rsidR="00AD3320" w:rsidRPr="009B5B67" w:rsidRDefault="00AD3320" w:rsidP="008245F4">
            <w:pPr>
              <w:jc w:val="left"/>
              <w:rPr>
                <w:rFonts w:cs="Arial"/>
                <w:sz w:val="18"/>
                <w:szCs w:val="18"/>
                <w:lang w:val="en-GB"/>
              </w:rPr>
            </w:pPr>
            <w:r w:rsidRPr="009B5B67">
              <w:rPr>
                <w:rFonts w:cs="Arial"/>
                <w:sz w:val="18"/>
                <w:szCs w:val="18"/>
                <w:lang w:val="en-GB"/>
              </w:rPr>
              <w:t>Forestry</w:t>
            </w:r>
          </w:p>
          <w:p w14:paraId="43FB9D44" w14:textId="77777777" w:rsidR="00AD3320" w:rsidRPr="009B5B67" w:rsidRDefault="00AD3320" w:rsidP="008245F4">
            <w:pPr>
              <w:jc w:val="left"/>
              <w:rPr>
                <w:rFonts w:cs="Arial"/>
                <w:sz w:val="18"/>
                <w:szCs w:val="18"/>
                <w:lang w:val="en-GB"/>
              </w:rPr>
            </w:pPr>
            <w:r w:rsidRPr="009B5B67">
              <w:rPr>
                <w:rFonts w:cs="Arial"/>
                <w:sz w:val="18"/>
                <w:szCs w:val="18"/>
                <w:lang w:val="en-GB"/>
              </w:rPr>
              <w:t>Biodiversity</w:t>
            </w:r>
          </w:p>
          <w:p w14:paraId="26CD1558" w14:textId="77777777" w:rsidR="00AD3320" w:rsidRPr="009B5B67" w:rsidRDefault="00AD3320" w:rsidP="008245F4">
            <w:pPr>
              <w:jc w:val="left"/>
              <w:rPr>
                <w:rFonts w:cs="Arial"/>
                <w:sz w:val="18"/>
                <w:szCs w:val="18"/>
                <w:lang w:val="en-GB"/>
              </w:rPr>
            </w:pPr>
            <w:r w:rsidRPr="009B5B67">
              <w:rPr>
                <w:rFonts w:cs="Arial"/>
                <w:sz w:val="18"/>
                <w:szCs w:val="18"/>
                <w:lang w:val="en-GB"/>
              </w:rPr>
              <w:t>Mitigation Co-benefits</w:t>
            </w:r>
          </w:p>
        </w:tc>
        <w:tc>
          <w:tcPr>
            <w:tcW w:w="1417" w:type="dxa"/>
            <w:shd w:val="clear" w:color="auto" w:fill="auto"/>
          </w:tcPr>
          <w:p w14:paraId="24B88A11"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Directorate of Forests</w:t>
            </w:r>
          </w:p>
        </w:tc>
        <w:tc>
          <w:tcPr>
            <w:tcW w:w="1985" w:type="dxa"/>
            <w:shd w:val="clear" w:color="auto" w:fill="auto"/>
          </w:tcPr>
          <w:p w14:paraId="56957163" w14:textId="77777777" w:rsidR="00AD3320" w:rsidRPr="009B5B67" w:rsidRDefault="00AD3320" w:rsidP="008245F4">
            <w:pPr>
              <w:jc w:val="left"/>
              <w:rPr>
                <w:rFonts w:cs="Arial"/>
                <w:sz w:val="18"/>
                <w:szCs w:val="18"/>
                <w:lang w:val="en-GB"/>
              </w:rPr>
            </w:pPr>
            <w:r w:rsidRPr="009B5B67">
              <w:rPr>
                <w:rFonts w:cs="Arial"/>
                <w:sz w:val="18"/>
                <w:szCs w:val="18"/>
                <w:lang w:val="en-GB"/>
              </w:rPr>
              <w:t>Number of forest management plans with included principles of close-to-nature and climate-smart forestry (</w:t>
            </w:r>
            <w:proofErr w:type="spellStart"/>
            <w:r w:rsidRPr="009B5B67">
              <w:rPr>
                <w:rFonts w:cs="Arial"/>
                <w:sz w:val="18"/>
                <w:szCs w:val="18"/>
                <w:lang w:val="en-GB"/>
              </w:rPr>
              <w:t>Javna</w:t>
            </w:r>
            <w:proofErr w:type="spellEnd"/>
            <w:r w:rsidRPr="009B5B67">
              <w:rPr>
                <w:rFonts w:cs="Arial"/>
                <w:sz w:val="18"/>
                <w:szCs w:val="18"/>
                <w:lang w:val="en-GB"/>
              </w:rPr>
              <w:t xml:space="preserve"> </w:t>
            </w:r>
            <w:proofErr w:type="spellStart"/>
            <w:proofErr w:type="gramStart"/>
            <w:r w:rsidRPr="009B5B67">
              <w:rPr>
                <w:rFonts w:cs="Arial"/>
                <w:sz w:val="18"/>
                <w:szCs w:val="18"/>
                <w:lang w:val="en-GB"/>
              </w:rPr>
              <w:t>preduzeća</w:t>
            </w:r>
            <w:proofErr w:type="spellEnd"/>
            <w:r w:rsidRPr="009B5B67">
              <w:rPr>
                <w:rFonts w:cs="Arial"/>
                <w:sz w:val="18"/>
                <w:szCs w:val="18"/>
                <w:lang w:val="en-GB"/>
              </w:rPr>
              <w:t xml:space="preserve">  za</w:t>
            </w:r>
            <w:proofErr w:type="gramEnd"/>
            <w:r w:rsidRPr="009B5B67">
              <w:rPr>
                <w:rFonts w:cs="Arial"/>
                <w:sz w:val="18"/>
                <w:szCs w:val="18"/>
                <w:lang w:val="en-GB"/>
              </w:rPr>
              <w:t xml:space="preserve"> </w:t>
            </w:r>
            <w:proofErr w:type="spellStart"/>
            <w:r w:rsidRPr="009B5B67">
              <w:rPr>
                <w:rFonts w:cs="Arial"/>
                <w:sz w:val="18"/>
                <w:szCs w:val="18"/>
                <w:lang w:val="en-GB"/>
              </w:rPr>
              <w:t>gazdovanje</w:t>
            </w:r>
            <w:proofErr w:type="spellEnd"/>
            <w:r w:rsidRPr="009B5B67">
              <w:rPr>
                <w:rFonts w:cs="Arial"/>
                <w:sz w:val="18"/>
                <w:szCs w:val="18"/>
                <w:lang w:val="en-GB"/>
              </w:rPr>
              <w:t xml:space="preserve"> </w:t>
            </w:r>
            <w:proofErr w:type="spellStart"/>
            <w:r w:rsidRPr="009B5B67">
              <w:rPr>
                <w:rFonts w:cs="Arial"/>
                <w:sz w:val="18"/>
                <w:szCs w:val="18"/>
                <w:lang w:val="en-GB"/>
              </w:rPr>
              <w:t>šumama</w:t>
            </w:r>
            <w:proofErr w:type="spellEnd"/>
            <w:r w:rsidRPr="009B5B67">
              <w:rPr>
                <w:rFonts w:cs="Arial"/>
                <w:sz w:val="18"/>
                <w:szCs w:val="18"/>
                <w:lang w:val="en-GB"/>
              </w:rPr>
              <w:t xml:space="preserve">, Directorate of Forests) </w:t>
            </w:r>
          </w:p>
        </w:tc>
        <w:tc>
          <w:tcPr>
            <w:tcW w:w="2410" w:type="dxa"/>
            <w:shd w:val="clear" w:color="auto" w:fill="auto"/>
          </w:tcPr>
          <w:p w14:paraId="3E2BBA2F" w14:textId="77777777" w:rsidR="00AD3320" w:rsidRPr="009B5B67" w:rsidRDefault="00AD3320" w:rsidP="008245F4">
            <w:pPr>
              <w:jc w:val="left"/>
              <w:rPr>
                <w:rFonts w:cs="Arial"/>
                <w:sz w:val="18"/>
                <w:szCs w:val="18"/>
                <w:lang w:val="en-GB"/>
              </w:rPr>
            </w:pPr>
            <w:r w:rsidRPr="009B5B67">
              <w:rPr>
                <w:rFonts w:cs="Arial"/>
                <w:sz w:val="18"/>
                <w:szCs w:val="18"/>
                <w:lang w:val="en-GB"/>
              </w:rPr>
              <w:t>From 1.000.000 EUR to 10.000.000 EUR</w:t>
            </w:r>
          </w:p>
          <w:p w14:paraId="2E926109" w14:textId="77777777" w:rsidR="00AD3320" w:rsidRPr="009B5B67" w:rsidRDefault="00AD3320" w:rsidP="008245F4">
            <w:pPr>
              <w:jc w:val="left"/>
              <w:rPr>
                <w:rFonts w:cs="Arial"/>
                <w:sz w:val="18"/>
                <w:szCs w:val="18"/>
                <w:lang w:val="en-GB"/>
              </w:rPr>
            </w:pPr>
          </w:p>
          <w:p w14:paraId="40A16671" w14:textId="77777777" w:rsidR="00AD3320" w:rsidRPr="009B5B67" w:rsidRDefault="00AD3320" w:rsidP="008245F4">
            <w:pPr>
              <w:jc w:val="left"/>
              <w:rPr>
                <w:rFonts w:cs="Arial"/>
                <w:sz w:val="18"/>
                <w:szCs w:val="18"/>
                <w:lang w:val="en-GB"/>
              </w:rPr>
            </w:pPr>
            <w:r w:rsidRPr="009B5B67">
              <w:rPr>
                <w:rFonts w:cs="Arial"/>
                <w:sz w:val="18"/>
                <w:szCs w:val="18"/>
                <w:lang w:val="en-GB"/>
              </w:rPr>
              <w:t>(1.300.000 EUR Proposed Strategy of Low-Carbon Development)</w:t>
            </w:r>
          </w:p>
        </w:tc>
        <w:tc>
          <w:tcPr>
            <w:tcW w:w="1588" w:type="dxa"/>
            <w:shd w:val="clear" w:color="auto" w:fill="auto"/>
          </w:tcPr>
          <w:p w14:paraId="0AE3E488"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63C2E2F6"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p w14:paraId="4689E1FD" w14:textId="77777777" w:rsidR="00AD3320" w:rsidRPr="009B5B67" w:rsidRDefault="00AD3320" w:rsidP="008245F4">
            <w:pPr>
              <w:jc w:val="left"/>
              <w:rPr>
                <w:rFonts w:cs="Arial"/>
                <w:sz w:val="18"/>
                <w:szCs w:val="18"/>
                <w:lang w:val="en-GB"/>
              </w:rPr>
            </w:pPr>
            <w:r w:rsidRPr="009B5B67">
              <w:rPr>
                <w:rFonts w:cs="Arial"/>
                <w:sz w:val="18"/>
                <w:szCs w:val="18"/>
                <w:lang w:val="en-GB"/>
              </w:rPr>
              <w:t>Innovative climate funding (Carbon market, green credit lines)</w:t>
            </w:r>
          </w:p>
        </w:tc>
      </w:tr>
      <w:tr w:rsidR="00AD3320" w:rsidRPr="000324FE" w14:paraId="448CAC91" w14:textId="77777777" w:rsidTr="008245F4">
        <w:trPr>
          <w:cantSplit/>
          <w:trHeight w:val="20"/>
        </w:trPr>
        <w:tc>
          <w:tcPr>
            <w:tcW w:w="534" w:type="dxa"/>
            <w:vMerge/>
            <w:shd w:val="clear" w:color="auto" w:fill="C5E0B3" w:themeFill="accent6" w:themeFillTint="66"/>
            <w:textDirection w:val="btLr"/>
            <w:vAlign w:val="center"/>
          </w:tcPr>
          <w:p w14:paraId="14A59800"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2FC4E70E" w14:textId="77777777" w:rsidR="00AD3320" w:rsidRPr="009B5B67" w:rsidRDefault="00AD3320" w:rsidP="008245F4">
            <w:pPr>
              <w:jc w:val="left"/>
              <w:rPr>
                <w:rFonts w:cs="Arial"/>
                <w:sz w:val="18"/>
                <w:szCs w:val="18"/>
                <w:lang w:val="en-GB"/>
              </w:rPr>
            </w:pPr>
            <w:r w:rsidRPr="009B5B67">
              <w:rPr>
                <w:rFonts w:cs="Arial"/>
                <w:sz w:val="18"/>
                <w:szCs w:val="18"/>
                <w:lang w:val="en-GB"/>
              </w:rPr>
              <w:t>Conversion of coppice into high forests</w:t>
            </w:r>
          </w:p>
        </w:tc>
        <w:tc>
          <w:tcPr>
            <w:tcW w:w="2268" w:type="dxa"/>
            <w:shd w:val="clear" w:color="auto" w:fill="auto"/>
          </w:tcPr>
          <w:p w14:paraId="2FE0E0A0"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Conversion of 7.000 ha of coppice to high forests per year until 2030, using natural seeds of prominent coppice trees and planting at </w:t>
            </w:r>
            <w:proofErr w:type="gramStart"/>
            <w:r w:rsidRPr="009B5B67">
              <w:rPr>
                <w:rFonts w:cs="Arial"/>
                <w:sz w:val="18"/>
                <w:szCs w:val="18"/>
                <w:lang w:val="en-GB"/>
              </w:rPr>
              <w:t>appropriate</w:t>
            </w:r>
            <w:proofErr w:type="gramEnd"/>
            <w:r w:rsidRPr="009B5B67">
              <w:rPr>
                <w:rFonts w:cs="Arial"/>
                <w:sz w:val="18"/>
                <w:szCs w:val="18"/>
                <w:lang w:val="en-GB"/>
              </w:rPr>
              <w:t xml:space="preserve"> selected locations</w:t>
            </w:r>
          </w:p>
        </w:tc>
        <w:tc>
          <w:tcPr>
            <w:tcW w:w="1843" w:type="dxa"/>
            <w:shd w:val="clear" w:color="auto" w:fill="auto"/>
          </w:tcPr>
          <w:p w14:paraId="61161A1D" w14:textId="77777777" w:rsidR="00AD3320" w:rsidRPr="009B5B67" w:rsidRDefault="00AD3320" w:rsidP="008245F4">
            <w:pPr>
              <w:jc w:val="left"/>
              <w:rPr>
                <w:rFonts w:cs="Arial"/>
                <w:sz w:val="18"/>
                <w:szCs w:val="18"/>
                <w:lang w:val="en-GB"/>
              </w:rPr>
            </w:pPr>
            <w:r w:rsidRPr="009B5B67">
              <w:rPr>
                <w:rFonts w:cs="Arial"/>
                <w:sz w:val="18"/>
                <w:szCs w:val="18"/>
                <w:lang w:val="en-GB"/>
              </w:rPr>
              <w:t>Forestry</w:t>
            </w:r>
          </w:p>
          <w:p w14:paraId="27F4A906" w14:textId="77777777" w:rsidR="00AD3320" w:rsidRPr="009B5B67" w:rsidRDefault="00AD3320" w:rsidP="008245F4">
            <w:pPr>
              <w:jc w:val="left"/>
              <w:rPr>
                <w:rFonts w:cs="Arial"/>
                <w:sz w:val="18"/>
                <w:szCs w:val="18"/>
                <w:lang w:val="en-GB"/>
              </w:rPr>
            </w:pPr>
            <w:r w:rsidRPr="009B5B67">
              <w:rPr>
                <w:rFonts w:cs="Arial"/>
                <w:sz w:val="18"/>
                <w:szCs w:val="18"/>
                <w:lang w:val="en-GB"/>
              </w:rPr>
              <w:t>Biodiversity</w:t>
            </w:r>
          </w:p>
          <w:p w14:paraId="70050087" w14:textId="77777777" w:rsidR="00AD3320" w:rsidRPr="009B5B67" w:rsidRDefault="00AD3320" w:rsidP="008245F4">
            <w:pPr>
              <w:jc w:val="left"/>
              <w:rPr>
                <w:rFonts w:cs="Arial"/>
                <w:sz w:val="18"/>
                <w:szCs w:val="18"/>
                <w:lang w:val="en-GB"/>
              </w:rPr>
            </w:pPr>
            <w:r w:rsidRPr="009B5B67">
              <w:rPr>
                <w:rFonts w:cs="Arial"/>
                <w:sz w:val="18"/>
                <w:szCs w:val="18"/>
                <w:lang w:val="en-GB"/>
              </w:rPr>
              <w:t>Mitigation Co-benefits</w:t>
            </w:r>
          </w:p>
        </w:tc>
        <w:tc>
          <w:tcPr>
            <w:tcW w:w="1417" w:type="dxa"/>
            <w:shd w:val="clear" w:color="auto" w:fill="auto"/>
          </w:tcPr>
          <w:p w14:paraId="0AF22179"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Directorate of Forests</w:t>
            </w:r>
          </w:p>
        </w:tc>
        <w:tc>
          <w:tcPr>
            <w:tcW w:w="1985" w:type="dxa"/>
            <w:shd w:val="clear" w:color="auto" w:fill="auto"/>
          </w:tcPr>
          <w:p w14:paraId="05FADE20" w14:textId="77777777" w:rsidR="00AD3320" w:rsidRPr="009B5B67" w:rsidRDefault="00AD3320" w:rsidP="008245F4">
            <w:pPr>
              <w:jc w:val="left"/>
              <w:rPr>
                <w:rFonts w:cs="Arial"/>
                <w:sz w:val="18"/>
                <w:szCs w:val="18"/>
                <w:lang w:val="en-GB"/>
              </w:rPr>
            </w:pPr>
            <w:r w:rsidRPr="009B5B67">
              <w:rPr>
                <w:rFonts w:cs="Arial"/>
                <w:sz w:val="18"/>
                <w:szCs w:val="18"/>
                <w:lang w:val="en-GB"/>
              </w:rPr>
              <w:t>Area under coppice forest converted to high forests (ha) (Directorate of Forests)</w:t>
            </w:r>
          </w:p>
        </w:tc>
        <w:tc>
          <w:tcPr>
            <w:tcW w:w="2410" w:type="dxa"/>
            <w:shd w:val="clear" w:color="auto" w:fill="auto"/>
          </w:tcPr>
          <w:p w14:paraId="042829D3" w14:textId="77777777" w:rsidR="00AD3320" w:rsidRPr="009B5B67" w:rsidRDefault="00AD3320" w:rsidP="008245F4">
            <w:pPr>
              <w:jc w:val="left"/>
              <w:rPr>
                <w:rFonts w:cs="Arial"/>
                <w:sz w:val="18"/>
                <w:szCs w:val="18"/>
                <w:lang w:val="en-GB"/>
              </w:rPr>
            </w:pPr>
            <w:r w:rsidRPr="009B5B67">
              <w:rPr>
                <w:rFonts w:cs="Arial"/>
                <w:sz w:val="18"/>
                <w:szCs w:val="18"/>
                <w:lang w:val="en-GB"/>
              </w:rPr>
              <w:t>From 1.000.000 EUR to 10.000.000 EUR</w:t>
            </w:r>
          </w:p>
          <w:p w14:paraId="13D93FF9" w14:textId="77777777" w:rsidR="00AD3320" w:rsidRPr="009B5B67" w:rsidRDefault="00AD3320" w:rsidP="008245F4">
            <w:pPr>
              <w:jc w:val="left"/>
              <w:rPr>
                <w:rFonts w:cs="Arial"/>
                <w:sz w:val="18"/>
                <w:szCs w:val="18"/>
                <w:lang w:val="en-GB"/>
              </w:rPr>
            </w:pPr>
          </w:p>
          <w:p w14:paraId="1077EF67" w14:textId="77777777" w:rsidR="00AD3320" w:rsidRPr="009B5B67" w:rsidRDefault="00AD3320" w:rsidP="008245F4">
            <w:pPr>
              <w:jc w:val="left"/>
              <w:rPr>
                <w:rFonts w:cs="Arial"/>
                <w:sz w:val="18"/>
                <w:szCs w:val="18"/>
                <w:lang w:val="en-GB"/>
              </w:rPr>
            </w:pPr>
            <w:r w:rsidRPr="009B5B67">
              <w:rPr>
                <w:rFonts w:cs="Arial"/>
                <w:sz w:val="18"/>
                <w:szCs w:val="18"/>
                <w:lang w:val="en-GB"/>
              </w:rPr>
              <w:t>(33.500.000 EUR Proposed Strategy of Low-Carbon Development)</w:t>
            </w:r>
          </w:p>
        </w:tc>
        <w:tc>
          <w:tcPr>
            <w:tcW w:w="1588" w:type="dxa"/>
            <w:shd w:val="clear" w:color="auto" w:fill="auto"/>
          </w:tcPr>
          <w:p w14:paraId="642801E1"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6DDD0F2B"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p w14:paraId="549BDD2E" w14:textId="77777777" w:rsidR="00AD3320" w:rsidRPr="009B5B67" w:rsidRDefault="00AD3320" w:rsidP="008245F4">
            <w:pPr>
              <w:jc w:val="left"/>
              <w:rPr>
                <w:rFonts w:cs="Arial"/>
                <w:sz w:val="18"/>
                <w:szCs w:val="18"/>
                <w:lang w:val="en-GB"/>
              </w:rPr>
            </w:pPr>
            <w:r w:rsidRPr="009B5B67">
              <w:rPr>
                <w:rFonts w:cs="Arial"/>
                <w:sz w:val="18"/>
                <w:szCs w:val="18"/>
                <w:lang w:val="en-GB"/>
              </w:rPr>
              <w:t>Private funding</w:t>
            </w:r>
          </w:p>
          <w:p w14:paraId="7A811196" w14:textId="77777777" w:rsidR="00AD3320" w:rsidRPr="009B5B67" w:rsidRDefault="00AD3320" w:rsidP="008245F4">
            <w:pPr>
              <w:jc w:val="left"/>
              <w:rPr>
                <w:rFonts w:cs="Arial"/>
                <w:sz w:val="18"/>
                <w:szCs w:val="18"/>
                <w:lang w:val="en-GB"/>
              </w:rPr>
            </w:pPr>
            <w:r w:rsidRPr="009B5B67">
              <w:rPr>
                <w:rFonts w:cs="Arial"/>
                <w:sz w:val="18"/>
                <w:szCs w:val="18"/>
                <w:lang w:val="en-GB"/>
              </w:rPr>
              <w:t>Innovative climate funding (Carbon market, green credit lines)</w:t>
            </w:r>
          </w:p>
        </w:tc>
      </w:tr>
      <w:tr w:rsidR="00AD3320" w:rsidRPr="000324FE" w14:paraId="5C2F5A7E" w14:textId="77777777" w:rsidTr="008245F4">
        <w:trPr>
          <w:cantSplit/>
          <w:trHeight w:val="20"/>
        </w:trPr>
        <w:tc>
          <w:tcPr>
            <w:tcW w:w="534" w:type="dxa"/>
            <w:vMerge/>
            <w:shd w:val="clear" w:color="auto" w:fill="C5E0B3" w:themeFill="accent6" w:themeFillTint="66"/>
            <w:textDirection w:val="btLr"/>
            <w:vAlign w:val="center"/>
          </w:tcPr>
          <w:p w14:paraId="63C500EE"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17C18487" w14:textId="77777777" w:rsidR="00AD3320" w:rsidRPr="009B5B67" w:rsidRDefault="00AD3320" w:rsidP="008245F4">
            <w:pPr>
              <w:jc w:val="left"/>
              <w:rPr>
                <w:rFonts w:cs="Arial"/>
                <w:sz w:val="18"/>
                <w:szCs w:val="18"/>
                <w:lang w:val="en-GB"/>
              </w:rPr>
            </w:pPr>
            <w:r w:rsidRPr="009B5B67">
              <w:rPr>
                <w:rFonts w:cs="Arial"/>
                <w:sz w:val="18"/>
                <w:szCs w:val="18"/>
                <w:lang w:val="en-GB"/>
              </w:rPr>
              <w:t>Reducing the negative risk factors of biotic and abiotic origin</w:t>
            </w:r>
          </w:p>
          <w:p w14:paraId="7605EF41" w14:textId="77777777" w:rsidR="00AD3320" w:rsidRPr="009B5B67" w:rsidRDefault="00AD3320" w:rsidP="008245F4">
            <w:pPr>
              <w:jc w:val="left"/>
              <w:rPr>
                <w:rFonts w:cs="Arial"/>
                <w:sz w:val="18"/>
                <w:szCs w:val="18"/>
                <w:lang w:val="en-GB"/>
              </w:rPr>
            </w:pPr>
          </w:p>
        </w:tc>
        <w:tc>
          <w:tcPr>
            <w:tcW w:w="2268" w:type="dxa"/>
            <w:shd w:val="clear" w:color="auto" w:fill="auto"/>
          </w:tcPr>
          <w:p w14:paraId="5CB88400"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Improvement of monitoring and forest fires early warning system, assessment of vulnerability from forest fires and development of recommendations for prevention and recovery from forest fires, </w:t>
            </w:r>
            <w:proofErr w:type="gramStart"/>
            <w:r w:rsidRPr="009B5B67">
              <w:rPr>
                <w:rFonts w:cs="Arial"/>
                <w:sz w:val="18"/>
                <w:szCs w:val="18"/>
                <w:lang w:val="en-GB"/>
              </w:rPr>
              <w:t>insects</w:t>
            </w:r>
            <w:proofErr w:type="gramEnd"/>
            <w:r w:rsidRPr="009B5B67">
              <w:rPr>
                <w:rFonts w:cs="Arial"/>
                <w:sz w:val="18"/>
                <w:szCs w:val="18"/>
                <w:lang w:val="en-GB"/>
              </w:rPr>
              <w:t xml:space="preserve"> and pests. </w:t>
            </w:r>
          </w:p>
        </w:tc>
        <w:tc>
          <w:tcPr>
            <w:tcW w:w="1843" w:type="dxa"/>
            <w:shd w:val="clear" w:color="auto" w:fill="auto"/>
          </w:tcPr>
          <w:p w14:paraId="2DACE9B7" w14:textId="77777777" w:rsidR="00AD3320" w:rsidRPr="009B5B67" w:rsidRDefault="00AD3320" w:rsidP="008245F4">
            <w:pPr>
              <w:jc w:val="left"/>
              <w:rPr>
                <w:rFonts w:cs="Arial"/>
                <w:sz w:val="18"/>
                <w:szCs w:val="18"/>
                <w:lang w:val="en-GB"/>
              </w:rPr>
            </w:pPr>
            <w:r w:rsidRPr="009B5B67">
              <w:rPr>
                <w:rFonts w:cs="Arial"/>
                <w:sz w:val="18"/>
                <w:szCs w:val="18"/>
                <w:lang w:val="en-GB"/>
              </w:rPr>
              <w:t>Forestry</w:t>
            </w:r>
          </w:p>
          <w:p w14:paraId="5D8ED2AB" w14:textId="77777777" w:rsidR="00AD3320" w:rsidRPr="009B5B67" w:rsidRDefault="00AD3320" w:rsidP="008245F4">
            <w:pPr>
              <w:jc w:val="left"/>
              <w:rPr>
                <w:rFonts w:cs="Arial"/>
                <w:sz w:val="18"/>
                <w:szCs w:val="18"/>
                <w:lang w:val="en-GB"/>
              </w:rPr>
            </w:pPr>
            <w:r w:rsidRPr="009B5B67">
              <w:rPr>
                <w:rFonts w:cs="Arial"/>
                <w:sz w:val="18"/>
                <w:szCs w:val="18"/>
                <w:lang w:val="en-GB"/>
              </w:rPr>
              <w:t>Biodiversity</w:t>
            </w:r>
          </w:p>
          <w:p w14:paraId="4B34C502" w14:textId="77777777" w:rsidR="00AD3320" w:rsidRPr="009B5B67" w:rsidRDefault="00AD3320" w:rsidP="008245F4">
            <w:pPr>
              <w:jc w:val="left"/>
              <w:rPr>
                <w:rFonts w:cs="Arial"/>
                <w:sz w:val="18"/>
                <w:szCs w:val="18"/>
                <w:lang w:val="en-GB"/>
              </w:rPr>
            </w:pPr>
            <w:r w:rsidRPr="009B5B67">
              <w:rPr>
                <w:rFonts w:cs="Arial"/>
                <w:sz w:val="18"/>
                <w:szCs w:val="18"/>
                <w:lang w:val="en-GB"/>
              </w:rPr>
              <w:t>Mitigation Co-benefits</w:t>
            </w:r>
          </w:p>
        </w:tc>
        <w:tc>
          <w:tcPr>
            <w:tcW w:w="1417" w:type="dxa"/>
            <w:shd w:val="clear" w:color="auto" w:fill="auto"/>
          </w:tcPr>
          <w:p w14:paraId="4276C43B" w14:textId="77777777" w:rsidR="00AD3320" w:rsidRPr="009B5B67" w:rsidRDefault="00AD3320" w:rsidP="008245F4">
            <w:pPr>
              <w:jc w:val="left"/>
              <w:rPr>
                <w:rFonts w:cs="Arial"/>
                <w:sz w:val="18"/>
                <w:szCs w:val="18"/>
                <w:lang w:val="en-GB"/>
              </w:rPr>
            </w:pPr>
            <w:r w:rsidRPr="009B5B67">
              <w:rPr>
                <w:rFonts w:cs="Arial"/>
                <w:sz w:val="18"/>
                <w:szCs w:val="18"/>
                <w:lang w:val="en-GB"/>
              </w:rPr>
              <w:t>Ministry of Agriculture, Forestry and Water Management, Directorate of Forests</w:t>
            </w:r>
          </w:p>
        </w:tc>
        <w:tc>
          <w:tcPr>
            <w:tcW w:w="1985" w:type="dxa"/>
            <w:shd w:val="clear" w:color="auto" w:fill="auto"/>
          </w:tcPr>
          <w:p w14:paraId="6152D17D"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Forest area under forest fires, droughts, </w:t>
            </w:r>
            <w:proofErr w:type="gramStart"/>
            <w:r w:rsidRPr="009B5B67">
              <w:rPr>
                <w:rFonts w:cs="Arial"/>
                <w:sz w:val="18"/>
                <w:szCs w:val="18"/>
                <w:lang w:val="en-GB"/>
              </w:rPr>
              <w:t>pests</w:t>
            </w:r>
            <w:proofErr w:type="gramEnd"/>
            <w:r w:rsidRPr="009B5B67">
              <w:rPr>
                <w:rFonts w:cs="Arial"/>
                <w:sz w:val="18"/>
                <w:szCs w:val="18"/>
                <w:lang w:val="en-GB"/>
              </w:rPr>
              <w:t xml:space="preserve"> and diseases (ha)</w:t>
            </w:r>
          </w:p>
          <w:p w14:paraId="413BA23E" w14:textId="77777777" w:rsidR="00AD3320" w:rsidRPr="009B5B67" w:rsidRDefault="00AD3320" w:rsidP="008245F4">
            <w:pPr>
              <w:jc w:val="left"/>
              <w:rPr>
                <w:rFonts w:cs="Arial"/>
                <w:sz w:val="18"/>
                <w:szCs w:val="18"/>
                <w:lang w:val="en-GB"/>
              </w:rPr>
            </w:pPr>
            <w:r w:rsidRPr="009B5B67">
              <w:rPr>
                <w:rFonts w:cs="Arial"/>
                <w:sz w:val="18"/>
                <w:szCs w:val="18"/>
                <w:lang w:val="en-GB"/>
              </w:rPr>
              <w:t>(</w:t>
            </w:r>
            <w:proofErr w:type="spellStart"/>
            <w:r w:rsidRPr="009B5B67">
              <w:rPr>
                <w:rFonts w:cs="Arial"/>
                <w:sz w:val="18"/>
                <w:szCs w:val="18"/>
                <w:lang w:val="en-GB"/>
              </w:rPr>
              <w:t>Preduzeća</w:t>
            </w:r>
            <w:proofErr w:type="spellEnd"/>
            <w:r w:rsidRPr="009B5B67">
              <w:rPr>
                <w:rFonts w:cs="Arial"/>
                <w:sz w:val="18"/>
                <w:szCs w:val="18"/>
                <w:lang w:val="en-GB"/>
              </w:rPr>
              <w:t xml:space="preserve"> za </w:t>
            </w:r>
            <w:proofErr w:type="spellStart"/>
            <w:r w:rsidRPr="009B5B67">
              <w:rPr>
                <w:rFonts w:cs="Arial"/>
                <w:sz w:val="18"/>
                <w:szCs w:val="18"/>
                <w:lang w:val="en-GB"/>
              </w:rPr>
              <w:t>gazdovanje</w:t>
            </w:r>
            <w:proofErr w:type="spellEnd"/>
            <w:r w:rsidRPr="009B5B67">
              <w:rPr>
                <w:rFonts w:cs="Arial"/>
                <w:sz w:val="18"/>
                <w:szCs w:val="18"/>
                <w:lang w:val="en-GB"/>
              </w:rPr>
              <w:t xml:space="preserve"> </w:t>
            </w:r>
            <w:proofErr w:type="spellStart"/>
            <w:r w:rsidRPr="009B5B67">
              <w:rPr>
                <w:rFonts w:cs="Arial"/>
                <w:sz w:val="18"/>
                <w:szCs w:val="18"/>
                <w:lang w:val="en-GB"/>
              </w:rPr>
              <w:t>šumama</w:t>
            </w:r>
            <w:proofErr w:type="spellEnd"/>
            <w:r w:rsidRPr="009B5B67">
              <w:rPr>
                <w:rFonts w:cs="Arial"/>
                <w:sz w:val="18"/>
                <w:szCs w:val="18"/>
                <w:lang w:val="en-GB"/>
              </w:rPr>
              <w:t>, Statistical Office of the Republic of Serbia)</w:t>
            </w:r>
          </w:p>
          <w:p w14:paraId="27CC0BB4" w14:textId="77777777" w:rsidR="00AD3320" w:rsidRPr="009B5B67" w:rsidRDefault="00AD3320" w:rsidP="008245F4">
            <w:pPr>
              <w:jc w:val="left"/>
              <w:rPr>
                <w:rFonts w:cs="Arial"/>
                <w:sz w:val="18"/>
                <w:szCs w:val="18"/>
                <w:lang w:val="en-GB"/>
              </w:rPr>
            </w:pPr>
          </w:p>
        </w:tc>
        <w:tc>
          <w:tcPr>
            <w:tcW w:w="2410" w:type="dxa"/>
            <w:shd w:val="clear" w:color="auto" w:fill="auto"/>
          </w:tcPr>
          <w:p w14:paraId="59E9B070" w14:textId="77777777" w:rsidR="00AD3320" w:rsidRPr="009B5B67" w:rsidRDefault="00AD3320" w:rsidP="008245F4">
            <w:pPr>
              <w:jc w:val="left"/>
              <w:rPr>
                <w:rFonts w:cs="Arial"/>
                <w:sz w:val="18"/>
                <w:szCs w:val="18"/>
                <w:lang w:val="en-GB"/>
              </w:rPr>
            </w:pPr>
            <w:r w:rsidRPr="009B5B67">
              <w:rPr>
                <w:rFonts w:cs="Arial"/>
                <w:sz w:val="18"/>
                <w:szCs w:val="18"/>
                <w:lang w:val="en-GB"/>
              </w:rPr>
              <w:t>From 1.000.000 EUR to 10.000.000 EUR</w:t>
            </w:r>
          </w:p>
          <w:p w14:paraId="75228D6E" w14:textId="77777777" w:rsidR="00AD3320" w:rsidRPr="009B5B67" w:rsidRDefault="00AD3320" w:rsidP="008245F4">
            <w:pPr>
              <w:jc w:val="left"/>
              <w:rPr>
                <w:rFonts w:cs="Arial"/>
                <w:sz w:val="18"/>
                <w:szCs w:val="18"/>
                <w:lang w:val="en-GB"/>
              </w:rPr>
            </w:pPr>
          </w:p>
          <w:p w14:paraId="49989F82" w14:textId="77777777" w:rsidR="00AD3320" w:rsidRPr="009B5B67" w:rsidRDefault="00AD3320" w:rsidP="008245F4">
            <w:pPr>
              <w:jc w:val="left"/>
              <w:rPr>
                <w:rFonts w:cs="Arial"/>
                <w:sz w:val="18"/>
                <w:szCs w:val="18"/>
                <w:lang w:val="en-GB"/>
              </w:rPr>
            </w:pPr>
            <w:r w:rsidRPr="009B5B67">
              <w:rPr>
                <w:rFonts w:cs="Arial"/>
                <w:sz w:val="18"/>
                <w:szCs w:val="18"/>
                <w:lang w:val="en-GB"/>
              </w:rPr>
              <w:t>(500.000 EUR Proposed Strategy of Low-Carbon Development for developing recommendations only, without implementation)</w:t>
            </w:r>
          </w:p>
        </w:tc>
        <w:tc>
          <w:tcPr>
            <w:tcW w:w="1588" w:type="dxa"/>
            <w:shd w:val="clear" w:color="auto" w:fill="auto"/>
          </w:tcPr>
          <w:p w14:paraId="7F2C2373" w14:textId="77777777" w:rsidR="00AD3320" w:rsidRPr="009B5B67" w:rsidRDefault="00AD3320" w:rsidP="008245F4">
            <w:pPr>
              <w:jc w:val="left"/>
              <w:rPr>
                <w:rFonts w:cs="Arial"/>
                <w:sz w:val="18"/>
                <w:szCs w:val="18"/>
                <w:lang w:val="en-GB"/>
              </w:rPr>
            </w:pPr>
            <w:r w:rsidRPr="009B5B67">
              <w:rPr>
                <w:rFonts w:cs="Arial"/>
                <w:sz w:val="18"/>
                <w:szCs w:val="18"/>
                <w:lang w:val="en-GB"/>
              </w:rPr>
              <w:t xml:space="preserve">Budget </w:t>
            </w:r>
          </w:p>
          <w:p w14:paraId="5B590230" w14:textId="77777777" w:rsidR="00AD3320" w:rsidRPr="009B5B67" w:rsidRDefault="00AD3320" w:rsidP="008245F4">
            <w:pPr>
              <w:jc w:val="left"/>
              <w:rPr>
                <w:rFonts w:cs="Arial"/>
                <w:sz w:val="18"/>
                <w:szCs w:val="18"/>
                <w:lang w:val="en-GB"/>
              </w:rPr>
            </w:pPr>
            <w:r w:rsidRPr="009B5B67">
              <w:rPr>
                <w:rFonts w:cs="Arial"/>
                <w:sz w:val="18"/>
                <w:szCs w:val="18"/>
                <w:lang w:val="en-GB"/>
              </w:rPr>
              <w:t>International funds (Adaptation Fund, GCF, GEF)</w:t>
            </w:r>
          </w:p>
          <w:p w14:paraId="00B5DEC2" w14:textId="77777777" w:rsidR="00AD3320" w:rsidRPr="009B5B67" w:rsidRDefault="00AD3320" w:rsidP="008245F4">
            <w:pPr>
              <w:jc w:val="left"/>
              <w:rPr>
                <w:rFonts w:cs="Arial"/>
                <w:sz w:val="18"/>
                <w:szCs w:val="18"/>
                <w:lang w:val="en-GB"/>
              </w:rPr>
            </w:pPr>
            <w:r w:rsidRPr="009B5B67">
              <w:rPr>
                <w:rFonts w:cs="Arial"/>
                <w:sz w:val="18"/>
                <w:szCs w:val="18"/>
                <w:lang w:val="en-GB"/>
              </w:rPr>
              <w:t>Innovative climate funding (Carbon market, green credit lines)</w:t>
            </w:r>
          </w:p>
        </w:tc>
      </w:tr>
      <w:tr w:rsidR="00AD3320" w:rsidRPr="000324FE" w14:paraId="0A7AC315" w14:textId="77777777" w:rsidTr="008245F4">
        <w:trPr>
          <w:cantSplit/>
          <w:trHeight w:val="20"/>
        </w:trPr>
        <w:tc>
          <w:tcPr>
            <w:tcW w:w="534" w:type="dxa"/>
            <w:vMerge w:val="restart"/>
            <w:shd w:val="clear" w:color="auto" w:fill="FFCCCC"/>
            <w:textDirection w:val="btLr"/>
            <w:vAlign w:val="center"/>
          </w:tcPr>
          <w:p w14:paraId="1FAF7F73" w14:textId="77777777" w:rsidR="00AD3320" w:rsidRPr="009B5B67" w:rsidRDefault="00AD3320" w:rsidP="008245F4">
            <w:pPr>
              <w:ind w:left="113" w:right="113"/>
              <w:jc w:val="center"/>
              <w:rPr>
                <w:rFonts w:cs="Arial"/>
                <w:sz w:val="18"/>
                <w:szCs w:val="18"/>
                <w:lang w:val="en-GB"/>
              </w:rPr>
            </w:pPr>
            <w:r w:rsidRPr="009B5B67">
              <w:rPr>
                <w:rFonts w:cs="Arial"/>
                <w:sz w:val="18"/>
                <w:szCs w:val="18"/>
                <w:lang w:val="en-GB"/>
              </w:rPr>
              <w:lastRenderedPageBreak/>
              <w:t>BIODIVERSITY</w:t>
            </w:r>
          </w:p>
        </w:tc>
        <w:tc>
          <w:tcPr>
            <w:tcW w:w="1984" w:type="dxa"/>
            <w:shd w:val="clear" w:color="auto" w:fill="auto"/>
          </w:tcPr>
          <w:p w14:paraId="2AB91E65" w14:textId="77777777" w:rsidR="00AD3320" w:rsidRPr="009B5B67" w:rsidRDefault="00AD3320" w:rsidP="008245F4">
            <w:pPr>
              <w:rPr>
                <w:rFonts w:cs="Arial"/>
                <w:sz w:val="18"/>
                <w:szCs w:val="18"/>
                <w:lang w:val="en-GB"/>
              </w:rPr>
            </w:pPr>
            <w:r w:rsidRPr="009B5B67">
              <w:rPr>
                <w:rFonts w:cs="Arial"/>
                <w:sz w:val="18"/>
                <w:szCs w:val="18"/>
                <w:lang w:val="en-GB"/>
              </w:rPr>
              <w:t>Development of national assessment of biodiversity vulnerability to climate change</w:t>
            </w:r>
          </w:p>
        </w:tc>
        <w:tc>
          <w:tcPr>
            <w:tcW w:w="2268" w:type="dxa"/>
            <w:shd w:val="clear" w:color="auto" w:fill="auto"/>
          </w:tcPr>
          <w:p w14:paraId="1ACFC456" w14:textId="77777777" w:rsidR="00AD3320" w:rsidRPr="009B5B67" w:rsidRDefault="00AD3320" w:rsidP="008245F4">
            <w:pPr>
              <w:rPr>
                <w:rFonts w:cs="Arial"/>
                <w:sz w:val="18"/>
                <w:szCs w:val="18"/>
                <w:lang w:val="en-GB"/>
              </w:rPr>
            </w:pPr>
            <w:r w:rsidRPr="009B5B67">
              <w:rPr>
                <w:rFonts w:cs="Arial"/>
                <w:sz w:val="18"/>
                <w:szCs w:val="18"/>
                <w:lang w:val="en-GB"/>
              </w:rPr>
              <w:t>Development of a comprehensive analysis of climate change impact to biodiversity, vulnerability assessment and possibilities of adaptation and mitigation of impacts on the territory o</w:t>
            </w:r>
            <w:r w:rsidR="008245F4" w:rsidRPr="009B5B67">
              <w:rPr>
                <w:rFonts w:cs="Arial"/>
                <w:sz w:val="18"/>
                <w:szCs w:val="18"/>
                <w:lang w:val="en-GB"/>
              </w:rPr>
              <w:t>f Serbia</w:t>
            </w:r>
          </w:p>
        </w:tc>
        <w:tc>
          <w:tcPr>
            <w:tcW w:w="1843" w:type="dxa"/>
            <w:shd w:val="clear" w:color="auto" w:fill="auto"/>
          </w:tcPr>
          <w:p w14:paraId="2FABE133" w14:textId="77777777" w:rsidR="00AD3320" w:rsidRPr="009B5B67" w:rsidRDefault="00AD3320" w:rsidP="008245F4">
            <w:pPr>
              <w:rPr>
                <w:rFonts w:cs="Arial"/>
                <w:sz w:val="18"/>
                <w:szCs w:val="18"/>
                <w:lang w:val="en-GB"/>
              </w:rPr>
            </w:pPr>
            <w:r w:rsidRPr="009B5B67">
              <w:rPr>
                <w:rFonts w:cs="Arial"/>
                <w:sz w:val="18"/>
                <w:szCs w:val="18"/>
                <w:lang w:val="en-GB"/>
              </w:rPr>
              <w:t>Environmental Protection</w:t>
            </w:r>
          </w:p>
          <w:p w14:paraId="6FEB1FB7" w14:textId="77777777" w:rsidR="00AD3320" w:rsidRPr="009B5B67" w:rsidRDefault="00AD3320" w:rsidP="008245F4">
            <w:pPr>
              <w:rPr>
                <w:rFonts w:cs="Arial"/>
                <w:sz w:val="18"/>
                <w:szCs w:val="18"/>
                <w:lang w:val="en-GB"/>
              </w:rPr>
            </w:pPr>
            <w:r w:rsidRPr="009B5B67">
              <w:rPr>
                <w:rFonts w:cs="Arial"/>
                <w:sz w:val="18"/>
                <w:szCs w:val="18"/>
                <w:lang w:val="en-GB"/>
              </w:rPr>
              <w:t>Biodiversity</w:t>
            </w:r>
          </w:p>
        </w:tc>
        <w:tc>
          <w:tcPr>
            <w:tcW w:w="1417" w:type="dxa"/>
            <w:shd w:val="clear" w:color="auto" w:fill="auto"/>
          </w:tcPr>
          <w:p w14:paraId="2A2CA68B" w14:textId="77777777" w:rsidR="00AD3320" w:rsidRPr="009B5B67" w:rsidRDefault="00AD3320" w:rsidP="008245F4">
            <w:pPr>
              <w:rPr>
                <w:rFonts w:cs="Arial"/>
                <w:sz w:val="18"/>
                <w:szCs w:val="18"/>
                <w:lang w:val="en-GB"/>
              </w:rPr>
            </w:pPr>
            <w:r w:rsidRPr="009B5B67">
              <w:rPr>
                <w:rFonts w:cs="Arial"/>
                <w:sz w:val="18"/>
                <w:szCs w:val="18"/>
                <w:lang w:val="en-GB"/>
              </w:rPr>
              <w:t>Ministry of Environmental Protection,</w:t>
            </w:r>
          </w:p>
          <w:p w14:paraId="0DFDEE1A" w14:textId="77777777" w:rsidR="00AD3320" w:rsidRPr="009B5B67" w:rsidRDefault="00AD3320" w:rsidP="008245F4">
            <w:pPr>
              <w:rPr>
                <w:rFonts w:cs="Arial"/>
                <w:sz w:val="18"/>
                <w:szCs w:val="18"/>
                <w:lang w:val="en-GB"/>
              </w:rPr>
            </w:pPr>
            <w:r w:rsidRPr="009B5B67">
              <w:rPr>
                <w:rFonts w:cs="Arial"/>
                <w:sz w:val="18"/>
                <w:szCs w:val="18"/>
                <w:lang w:val="en-GB"/>
              </w:rPr>
              <w:t>Agency for Environmental Protection</w:t>
            </w:r>
          </w:p>
        </w:tc>
        <w:tc>
          <w:tcPr>
            <w:tcW w:w="1985" w:type="dxa"/>
            <w:shd w:val="clear" w:color="auto" w:fill="auto"/>
          </w:tcPr>
          <w:p w14:paraId="61A4197C" w14:textId="77777777" w:rsidR="00AD3320" w:rsidRPr="009B5B67" w:rsidRDefault="00AD3320" w:rsidP="008245F4">
            <w:pPr>
              <w:rPr>
                <w:rFonts w:cs="Arial"/>
                <w:sz w:val="18"/>
                <w:szCs w:val="18"/>
                <w:lang w:val="en-GB"/>
              </w:rPr>
            </w:pPr>
            <w:r w:rsidRPr="009B5B67">
              <w:rPr>
                <w:rFonts w:cs="Arial"/>
                <w:sz w:val="18"/>
                <w:szCs w:val="18"/>
                <w:lang w:val="en-GB"/>
              </w:rPr>
              <w:t>Developed national assessment of biodiversity vulnerability to climate change</w:t>
            </w:r>
          </w:p>
          <w:p w14:paraId="6F72932B" w14:textId="77777777" w:rsidR="00AD3320" w:rsidRPr="009B5B67" w:rsidRDefault="00AD3320" w:rsidP="008245F4">
            <w:pPr>
              <w:rPr>
                <w:rFonts w:cs="Arial"/>
                <w:sz w:val="18"/>
                <w:szCs w:val="18"/>
                <w:lang w:val="en-GB"/>
              </w:rPr>
            </w:pPr>
            <w:r w:rsidRPr="009B5B67">
              <w:rPr>
                <w:rFonts w:cs="Arial"/>
                <w:sz w:val="18"/>
                <w:szCs w:val="18"/>
                <w:lang w:val="en-GB"/>
              </w:rPr>
              <w:t>(Ministry of Environmental Protection)</w:t>
            </w:r>
          </w:p>
        </w:tc>
        <w:tc>
          <w:tcPr>
            <w:tcW w:w="2410" w:type="dxa"/>
            <w:shd w:val="clear" w:color="auto" w:fill="auto"/>
          </w:tcPr>
          <w:p w14:paraId="1984D2C2" w14:textId="77777777" w:rsidR="00AD3320" w:rsidRPr="009B5B67" w:rsidRDefault="00AD3320" w:rsidP="008245F4">
            <w:pPr>
              <w:rPr>
                <w:rFonts w:cs="Arial"/>
                <w:sz w:val="18"/>
                <w:szCs w:val="18"/>
                <w:lang w:val="en-GB"/>
              </w:rPr>
            </w:pPr>
            <w:r w:rsidRPr="009B5B67">
              <w:rPr>
                <w:rFonts w:cs="Arial"/>
                <w:sz w:val="18"/>
                <w:szCs w:val="18"/>
                <w:lang w:val="en-GB"/>
              </w:rPr>
              <w:t>From 100.000 EUR to 1.000.000 EUR</w:t>
            </w:r>
          </w:p>
        </w:tc>
        <w:tc>
          <w:tcPr>
            <w:tcW w:w="1588" w:type="dxa"/>
            <w:shd w:val="clear" w:color="auto" w:fill="auto"/>
          </w:tcPr>
          <w:p w14:paraId="179612F4" w14:textId="77777777" w:rsidR="00AD3320" w:rsidRPr="009B5B67" w:rsidRDefault="00AD3320" w:rsidP="008245F4">
            <w:pPr>
              <w:rPr>
                <w:rFonts w:cs="Arial"/>
                <w:sz w:val="18"/>
                <w:szCs w:val="18"/>
                <w:lang w:val="en-GB"/>
              </w:rPr>
            </w:pPr>
            <w:r w:rsidRPr="009B5B67">
              <w:rPr>
                <w:rFonts w:cs="Arial"/>
                <w:sz w:val="18"/>
                <w:szCs w:val="18"/>
                <w:lang w:val="en-GB"/>
              </w:rPr>
              <w:t xml:space="preserve">Budget </w:t>
            </w:r>
          </w:p>
          <w:p w14:paraId="7361D023"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tc>
      </w:tr>
      <w:tr w:rsidR="00AD3320" w:rsidRPr="000324FE" w14:paraId="5FEC8B6B" w14:textId="77777777" w:rsidTr="008245F4">
        <w:trPr>
          <w:cantSplit/>
          <w:trHeight w:val="20"/>
        </w:trPr>
        <w:tc>
          <w:tcPr>
            <w:tcW w:w="534" w:type="dxa"/>
            <w:vMerge/>
            <w:shd w:val="clear" w:color="auto" w:fill="FFCCCC"/>
            <w:textDirection w:val="btLr"/>
            <w:vAlign w:val="center"/>
          </w:tcPr>
          <w:p w14:paraId="229AB38E"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23E70789" w14:textId="77777777" w:rsidR="00AD3320" w:rsidRPr="009B5B67" w:rsidRDefault="00AD3320" w:rsidP="008245F4">
            <w:pPr>
              <w:rPr>
                <w:rFonts w:cs="Arial"/>
                <w:sz w:val="18"/>
                <w:szCs w:val="18"/>
                <w:lang w:val="en-GB"/>
              </w:rPr>
            </w:pPr>
            <w:r w:rsidRPr="009B5B67">
              <w:rPr>
                <w:rFonts w:cs="Arial"/>
                <w:sz w:val="18"/>
                <w:szCs w:val="18"/>
                <w:lang w:val="en-GB"/>
              </w:rPr>
              <w:t>Monitoring the impact of climate change to biodiversity and impact of biodiversity to mitigating climate change effects</w:t>
            </w:r>
          </w:p>
          <w:p w14:paraId="7118C80A" w14:textId="77777777" w:rsidR="00AD3320" w:rsidRPr="009B5B67" w:rsidRDefault="00AD3320" w:rsidP="008245F4">
            <w:pPr>
              <w:rPr>
                <w:rFonts w:cs="Arial"/>
                <w:sz w:val="18"/>
                <w:szCs w:val="18"/>
                <w:lang w:val="en-GB"/>
              </w:rPr>
            </w:pPr>
          </w:p>
        </w:tc>
        <w:tc>
          <w:tcPr>
            <w:tcW w:w="2268" w:type="dxa"/>
            <w:shd w:val="clear" w:color="auto" w:fill="auto"/>
          </w:tcPr>
          <w:p w14:paraId="5EBF2D74" w14:textId="77777777" w:rsidR="00AD3320" w:rsidRPr="009B5B67" w:rsidRDefault="00AD3320" w:rsidP="008245F4">
            <w:pPr>
              <w:rPr>
                <w:rFonts w:cs="Arial"/>
                <w:sz w:val="18"/>
                <w:szCs w:val="18"/>
                <w:lang w:val="en-GB"/>
              </w:rPr>
            </w:pPr>
            <w:r w:rsidRPr="009B5B67">
              <w:rPr>
                <w:rFonts w:cs="Arial"/>
                <w:sz w:val="18"/>
                <w:szCs w:val="18"/>
                <w:lang w:val="en-GB"/>
              </w:rPr>
              <w:t xml:space="preserve">Defining </w:t>
            </w:r>
            <w:proofErr w:type="gramStart"/>
            <w:r w:rsidRPr="009B5B67">
              <w:rPr>
                <w:rFonts w:cs="Arial"/>
                <w:sz w:val="18"/>
                <w:szCs w:val="18"/>
                <w:lang w:val="en-GB"/>
              </w:rPr>
              <w:t>a number of</w:t>
            </w:r>
            <w:proofErr w:type="gramEnd"/>
            <w:r w:rsidRPr="009B5B67">
              <w:rPr>
                <w:rFonts w:cs="Arial"/>
                <w:sz w:val="18"/>
                <w:szCs w:val="18"/>
                <w:lang w:val="en-GB"/>
              </w:rPr>
              <w:t xml:space="preserve"> species, habitats and ecosystems and developing methodologies and indicators for monitoring climate change impacts to biodiversity. Developing specific measure to protect species and habitats that are vulnerable to climate change. Monitoring the level of endangerment of biodiversity from extreme weather events.</w:t>
            </w:r>
          </w:p>
        </w:tc>
        <w:tc>
          <w:tcPr>
            <w:tcW w:w="1843" w:type="dxa"/>
            <w:shd w:val="clear" w:color="auto" w:fill="auto"/>
          </w:tcPr>
          <w:p w14:paraId="673FA4DD" w14:textId="77777777" w:rsidR="00AD3320" w:rsidRPr="009B5B67" w:rsidRDefault="00AD3320" w:rsidP="008245F4">
            <w:pPr>
              <w:rPr>
                <w:rFonts w:cs="Arial"/>
                <w:sz w:val="18"/>
                <w:szCs w:val="18"/>
                <w:lang w:val="en-GB"/>
              </w:rPr>
            </w:pPr>
            <w:r w:rsidRPr="009B5B67">
              <w:rPr>
                <w:rFonts w:cs="Arial"/>
                <w:sz w:val="18"/>
                <w:szCs w:val="18"/>
                <w:lang w:val="en-GB"/>
              </w:rPr>
              <w:t>Environmental Protection</w:t>
            </w:r>
          </w:p>
          <w:p w14:paraId="0FA49771" w14:textId="77777777" w:rsidR="00AD3320" w:rsidRPr="009B5B67" w:rsidRDefault="00AD3320" w:rsidP="008245F4">
            <w:pPr>
              <w:rPr>
                <w:rFonts w:cs="Arial"/>
                <w:sz w:val="18"/>
                <w:szCs w:val="18"/>
                <w:lang w:val="en-GB"/>
              </w:rPr>
            </w:pPr>
            <w:r w:rsidRPr="009B5B67">
              <w:rPr>
                <w:rFonts w:cs="Arial"/>
                <w:sz w:val="18"/>
                <w:szCs w:val="18"/>
                <w:lang w:val="en-GB"/>
              </w:rPr>
              <w:t>Biodiversity</w:t>
            </w:r>
          </w:p>
        </w:tc>
        <w:tc>
          <w:tcPr>
            <w:tcW w:w="1417" w:type="dxa"/>
            <w:shd w:val="clear" w:color="auto" w:fill="auto"/>
          </w:tcPr>
          <w:p w14:paraId="385285C5" w14:textId="77777777" w:rsidR="00AD3320" w:rsidRPr="009B5B67" w:rsidRDefault="00AD3320" w:rsidP="008245F4">
            <w:pPr>
              <w:rPr>
                <w:rFonts w:cs="Arial"/>
                <w:sz w:val="18"/>
                <w:szCs w:val="18"/>
                <w:lang w:val="en-GB"/>
              </w:rPr>
            </w:pPr>
            <w:r w:rsidRPr="009B5B67">
              <w:rPr>
                <w:rFonts w:cs="Arial"/>
                <w:sz w:val="18"/>
                <w:szCs w:val="18"/>
                <w:lang w:val="en-GB"/>
              </w:rPr>
              <w:t>Ministry of Environmental Protection,</w:t>
            </w:r>
          </w:p>
          <w:p w14:paraId="50E2A77D" w14:textId="77777777" w:rsidR="00AD3320" w:rsidRPr="009B5B67" w:rsidRDefault="00AD3320" w:rsidP="008245F4">
            <w:pPr>
              <w:rPr>
                <w:rFonts w:cs="Arial"/>
                <w:sz w:val="18"/>
                <w:szCs w:val="18"/>
                <w:lang w:val="en-GB"/>
              </w:rPr>
            </w:pPr>
            <w:r w:rsidRPr="009B5B67">
              <w:rPr>
                <w:rFonts w:cs="Arial"/>
                <w:sz w:val="18"/>
                <w:szCs w:val="18"/>
                <w:lang w:val="en-GB"/>
              </w:rPr>
              <w:t>Agency for Environmental Protection</w:t>
            </w:r>
          </w:p>
        </w:tc>
        <w:tc>
          <w:tcPr>
            <w:tcW w:w="1985" w:type="dxa"/>
            <w:shd w:val="clear" w:color="auto" w:fill="auto"/>
          </w:tcPr>
          <w:p w14:paraId="224046D8" w14:textId="77777777" w:rsidR="00AD3320" w:rsidRPr="009B5B67" w:rsidRDefault="00AD3320" w:rsidP="008245F4">
            <w:pPr>
              <w:rPr>
                <w:rFonts w:cs="Arial"/>
                <w:sz w:val="18"/>
                <w:szCs w:val="18"/>
                <w:lang w:val="en-GB"/>
              </w:rPr>
            </w:pPr>
            <w:r w:rsidRPr="009B5B67">
              <w:rPr>
                <w:rFonts w:cs="Arial"/>
                <w:sz w:val="18"/>
                <w:szCs w:val="18"/>
                <w:lang w:val="en-GB"/>
              </w:rPr>
              <w:t xml:space="preserve">Number of indicators, species, </w:t>
            </w:r>
            <w:proofErr w:type="gramStart"/>
            <w:r w:rsidRPr="009B5B67">
              <w:rPr>
                <w:rFonts w:cs="Arial"/>
                <w:sz w:val="18"/>
                <w:szCs w:val="18"/>
                <w:lang w:val="en-GB"/>
              </w:rPr>
              <w:t>habitats</w:t>
            </w:r>
            <w:proofErr w:type="gramEnd"/>
            <w:r w:rsidRPr="009B5B67">
              <w:rPr>
                <w:rFonts w:cs="Arial"/>
                <w:sz w:val="18"/>
                <w:szCs w:val="18"/>
                <w:lang w:val="en-GB"/>
              </w:rPr>
              <w:t xml:space="preserve"> and ecosystems with established monitoring of climate change impacts (Agency for Environmental Protection)</w:t>
            </w:r>
          </w:p>
        </w:tc>
        <w:tc>
          <w:tcPr>
            <w:tcW w:w="2410" w:type="dxa"/>
            <w:shd w:val="clear" w:color="auto" w:fill="auto"/>
          </w:tcPr>
          <w:p w14:paraId="16EA9D8B" w14:textId="77777777" w:rsidR="00AD3320" w:rsidRPr="009B5B67" w:rsidRDefault="00AD3320" w:rsidP="008245F4">
            <w:pPr>
              <w:rPr>
                <w:rFonts w:cs="Arial"/>
                <w:sz w:val="18"/>
                <w:szCs w:val="18"/>
                <w:lang w:val="en-GB"/>
              </w:rPr>
            </w:pPr>
            <w:r w:rsidRPr="009B5B67">
              <w:rPr>
                <w:rFonts w:cs="Arial"/>
                <w:sz w:val="18"/>
                <w:szCs w:val="18"/>
                <w:lang w:val="en-GB"/>
              </w:rPr>
              <w:t>From 1.000.000 EUR to 10.000.000 EUR</w:t>
            </w:r>
          </w:p>
        </w:tc>
        <w:tc>
          <w:tcPr>
            <w:tcW w:w="1588" w:type="dxa"/>
            <w:shd w:val="clear" w:color="auto" w:fill="auto"/>
          </w:tcPr>
          <w:p w14:paraId="41AAA581" w14:textId="77777777" w:rsidR="00AD3320" w:rsidRPr="009B5B67" w:rsidRDefault="00AD3320" w:rsidP="008245F4">
            <w:pPr>
              <w:rPr>
                <w:rFonts w:cs="Arial"/>
                <w:sz w:val="18"/>
                <w:szCs w:val="18"/>
                <w:lang w:val="en-GB"/>
              </w:rPr>
            </w:pPr>
            <w:r w:rsidRPr="009B5B67">
              <w:rPr>
                <w:rFonts w:cs="Arial"/>
                <w:sz w:val="18"/>
                <w:szCs w:val="18"/>
                <w:lang w:val="en-GB"/>
              </w:rPr>
              <w:t xml:space="preserve">Budget </w:t>
            </w:r>
          </w:p>
          <w:p w14:paraId="4A9C0EB1"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tc>
      </w:tr>
      <w:tr w:rsidR="00AD3320" w:rsidRPr="009B5B67" w14:paraId="1791339A" w14:textId="77777777" w:rsidTr="008245F4">
        <w:trPr>
          <w:cantSplit/>
          <w:trHeight w:val="20"/>
        </w:trPr>
        <w:tc>
          <w:tcPr>
            <w:tcW w:w="534" w:type="dxa"/>
            <w:vMerge/>
            <w:shd w:val="clear" w:color="auto" w:fill="FFCCCC"/>
            <w:textDirection w:val="btLr"/>
            <w:vAlign w:val="center"/>
          </w:tcPr>
          <w:p w14:paraId="10AD7006"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68AF5C16" w14:textId="77777777" w:rsidR="00AD3320" w:rsidRPr="009B5B67" w:rsidRDefault="00AD3320" w:rsidP="008245F4">
            <w:pPr>
              <w:rPr>
                <w:rFonts w:cs="Arial"/>
                <w:sz w:val="18"/>
                <w:szCs w:val="18"/>
                <w:lang w:val="en-GB"/>
              </w:rPr>
            </w:pPr>
            <w:r w:rsidRPr="009B5B67">
              <w:rPr>
                <w:rFonts w:cs="Arial"/>
                <w:sz w:val="18"/>
                <w:szCs w:val="18"/>
                <w:lang w:val="en-GB"/>
              </w:rPr>
              <w:t>Capacity building and improving the cooperation among scientists and researchers</w:t>
            </w:r>
          </w:p>
        </w:tc>
        <w:tc>
          <w:tcPr>
            <w:tcW w:w="2268" w:type="dxa"/>
            <w:shd w:val="clear" w:color="auto" w:fill="auto"/>
          </w:tcPr>
          <w:p w14:paraId="2A6CA3E4" w14:textId="77777777" w:rsidR="00AD3320" w:rsidRPr="009B5B67" w:rsidRDefault="00AD3320" w:rsidP="008245F4">
            <w:pPr>
              <w:rPr>
                <w:rFonts w:cs="Arial"/>
                <w:sz w:val="18"/>
                <w:szCs w:val="18"/>
                <w:lang w:val="en-GB"/>
              </w:rPr>
            </w:pPr>
            <w:r w:rsidRPr="009B5B67">
              <w:rPr>
                <w:rFonts w:cs="Arial"/>
                <w:sz w:val="18"/>
                <w:szCs w:val="18"/>
                <w:lang w:val="en-GB"/>
              </w:rPr>
              <w:t xml:space="preserve">Improving cooperation among scientists and researchers from different research fields </w:t>
            </w:r>
            <w:proofErr w:type="gramStart"/>
            <w:r w:rsidRPr="009B5B67">
              <w:rPr>
                <w:rFonts w:cs="Arial"/>
                <w:sz w:val="18"/>
                <w:szCs w:val="18"/>
                <w:lang w:val="en-GB"/>
              </w:rPr>
              <w:t>in order to</w:t>
            </w:r>
            <w:proofErr w:type="gramEnd"/>
            <w:r w:rsidRPr="009B5B67">
              <w:rPr>
                <w:rFonts w:cs="Arial"/>
                <w:sz w:val="18"/>
                <w:szCs w:val="18"/>
                <w:lang w:val="en-GB"/>
              </w:rPr>
              <w:t xml:space="preserve"> investigate climate change impacts to biodiversity in Serbia.</w:t>
            </w:r>
          </w:p>
        </w:tc>
        <w:tc>
          <w:tcPr>
            <w:tcW w:w="1843" w:type="dxa"/>
            <w:shd w:val="clear" w:color="auto" w:fill="auto"/>
          </w:tcPr>
          <w:p w14:paraId="24D82AE3" w14:textId="77777777" w:rsidR="00AD3320" w:rsidRPr="009B5B67" w:rsidRDefault="00AD3320" w:rsidP="008245F4">
            <w:pPr>
              <w:rPr>
                <w:rFonts w:cs="Arial"/>
                <w:sz w:val="18"/>
                <w:szCs w:val="18"/>
                <w:lang w:val="en-GB"/>
              </w:rPr>
            </w:pPr>
            <w:r w:rsidRPr="009B5B67">
              <w:rPr>
                <w:rFonts w:cs="Arial"/>
                <w:sz w:val="18"/>
                <w:szCs w:val="18"/>
                <w:lang w:val="en-GB"/>
              </w:rPr>
              <w:t>Environmental Protection</w:t>
            </w:r>
          </w:p>
          <w:p w14:paraId="13F1FDC4" w14:textId="77777777" w:rsidR="00AD3320" w:rsidRPr="009B5B67" w:rsidRDefault="00AD3320" w:rsidP="008245F4">
            <w:pPr>
              <w:rPr>
                <w:rFonts w:cs="Arial"/>
                <w:sz w:val="18"/>
                <w:szCs w:val="18"/>
                <w:lang w:val="en-GB"/>
              </w:rPr>
            </w:pPr>
            <w:r w:rsidRPr="009B5B67">
              <w:rPr>
                <w:rFonts w:cs="Arial"/>
                <w:sz w:val="18"/>
                <w:szCs w:val="18"/>
                <w:lang w:val="en-GB"/>
              </w:rPr>
              <w:t>Biodiversity</w:t>
            </w:r>
          </w:p>
        </w:tc>
        <w:tc>
          <w:tcPr>
            <w:tcW w:w="1417" w:type="dxa"/>
            <w:shd w:val="clear" w:color="auto" w:fill="auto"/>
          </w:tcPr>
          <w:p w14:paraId="45A0FDA1" w14:textId="77777777" w:rsidR="00AD3320" w:rsidRPr="009B5B67" w:rsidRDefault="00AD3320" w:rsidP="008245F4">
            <w:pPr>
              <w:rPr>
                <w:rFonts w:cs="Arial"/>
                <w:sz w:val="18"/>
                <w:szCs w:val="18"/>
                <w:lang w:val="en-GB"/>
              </w:rPr>
            </w:pPr>
            <w:r w:rsidRPr="009B5B67">
              <w:rPr>
                <w:rFonts w:cs="Arial"/>
                <w:sz w:val="18"/>
                <w:szCs w:val="18"/>
                <w:lang w:val="en-GB"/>
              </w:rPr>
              <w:t>Ministry of Environmental Protection,</w:t>
            </w:r>
          </w:p>
          <w:p w14:paraId="4C2ED085" w14:textId="77777777" w:rsidR="00AD3320" w:rsidRPr="009B5B67" w:rsidRDefault="00AD3320" w:rsidP="008245F4">
            <w:pPr>
              <w:rPr>
                <w:rFonts w:cs="Arial"/>
                <w:sz w:val="18"/>
                <w:szCs w:val="18"/>
                <w:lang w:val="en-GB"/>
              </w:rPr>
            </w:pPr>
            <w:r w:rsidRPr="009B5B67">
              <w:rPr>
                <w:rFonts w:cs="Arial"/>
                <w:sz w:val="18"/>
                <w:szCs w:val="18"/>
                <w:lang w:val="en-GB"/>
              </w:rPr>
              <w:t xml:space="preserve">Agency for Environmental Protection </w:t>
            </w:r>
          </w:p>
          <w:p w14:paraId="3B025FA6" w14:textId="77777777" w:rsidR="00AD3320" w:rsidRPr="009B5B67" w:rsidRDefault="00AD3320" w:rsidP="008245F4">
            <w:pPr>
              <w:rPr>
                <w:rFonts w:cs="Arial"/>
                <w:sz w:val="18"/>
                <w:szCs w:val="18"/>
                <w:lang w:val="en-GB"/>
              </w:rPr>
            </w:pPr>
            <w:r w:rsidRPr="009B5B67">
              <w:rPr>
                <w:rFonts w:cs="Arial"/>
                <w:sz w:val="18"/>
                <w:szCs w:val="18"/>
                <w:lang w:val="en-GB"/>
              </w:rPr>
              <w:t>Scientific and Research Institutes</w:t>
            </w:r>
          </w:p>
        </w:tc>
        <w:tc>
          <w:tcPr>
            <w:tcW w:w="1985" w:type="dxa"/>
            <w:shd w:val="clear" w:color="auto" w:fill="auto"/>
          </w:tcPr>
          <w:p w14:paraId="651C3B45" w14:textId="77777777" w:rsidR="00AD3320" w:rsidRPr="009B5B67" w:rsidRDefault="00AD3320" w:rsidP="008245F4">
            <w:pPr>
              <w:rPr>
                <w:rFonts w:cs="Arial"/>
                <w:sz w:val="18"/>
                <w:szCs w:val="18"/>
                <w:lang w:val="en-GB"/>
              </w:rPr>
            </w:pPr>
            <w:r w:rsidRPr="009B5B67">
              <w:rPr>
                <w:rFonts w:cs="Arial"/>
                <w:sz w:val="18"/>
                <w:szCs w:val="18"/>
                <w:lang w:val="en-GB"/>
              </w:rPr>
              <w:t>Number of published scientific papers with a subject of climate change impacts to biodiversity (Ministry of Environmental Protection)</w:t>
            </w:r>
          </w:p>
        </w:tc>
        <w:tc>
          <w:tcPr>
            <w:tcW w:w="2410" w:type="dxa"/>
            <w:shd w:val="clear" w:color="auto" w:fill="auto"/>
          </w:tcPr>
          <w:p w14:paraId="071AA95A" w14:textId="77777777" w:rsidR="00AD3320" w:rsidRPr="009B5B67" w:rsidRDefault="00AD3320" w:rsidP="008245F4">
            <w:pPr>
              <w:rPr>
                <w:rFonts w:cs="Arial"/>
                <w:sz w:val="18"/>
                <w:szCs w:val="18"/>
                <w:lang w:val="en-GB"/>
              </w:rPr>
            </w:pPr>
            <w:r w:rsidRPr="009B5B67">
              <w:rPr>
                <w:rFonts w:cs="Arial"/>
                <w:sz w:val="18"/>
                <w:szCs w:val="18"/>
                <w:lang w:val="en-GB"/>
              </w:rPr>
              <w:t>From 100.000 EUR to 1.000.000 EUR</w:t>
            </w:r>
          </w:p>
        </w:tc>
        <w:tc>
          <w:tcPr>
            <w:tcW w:w="1588" w:type="dxa"/>
            <w:shd w:val="clear" w:color="auto" w:fill="auto"/>
          </w:tcPr>
          <w:p w14:paraId="24DF88A9" w14:textId="77777777" w:rsidR="00AD3320" w:rsidRPr="009B5B67" w:rsidRDefault="00AD3320" w:rsidP="008245F4">
            <w:pPr>
              <w:rPr>
                <w:rFonts w:cs="Arial"/>
                <w:sz w:val="18"/>
                <w:szCs w:val="18"/>
                <w:lang w:val="en-GB"/>
              </w:rPr>
            </w:pPr>
            <w:r w:rsidRPr="009B5B67">
              <w:rPr>
                <w:rFonts w:cs="Arial"/>
                <w:sz w:val="18"/>
                <w:szCs w:val="18"/>
                <w:lang w:val="en-GB"/>
              </w:rPr>
              <w:t xml:space="preserve">Budget </w:t>
            </w:r>
          </w:p>
          <w:p w14:paraId="2E8A8041"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p w14:paraId="126714AF" w14:textId="77777777" w:rsidR="00AD3320" w:rsidRPr="009B5B67" w:rsidRDefault="00AD3320" w:rsidP="008245F4">
            <w:pPr>
              <w:rPr>
                <w:rFonts w:cs="Arial"/>
                <w:sz w:val="18"/>
                <w:szCs w:val="18"/>
                <w:lang w:val="en-GB"/>
              </w:rPr>
            </w:pPr>
            <w:r w:rsidRPr="009B5B67">
              <w:rPr>
                <w:rFonts w:cs="Arial"/>
                <w:sz w:val="18"/>
                <w:szCs w:val="18"/>
                <w:lang w:val="en-GB"/>
              </w:rPr>
              <w:t>International projects</w:t>
            </w:r>
          </w:p>
        </w:tc>
      </w:tr>
      <w:tr w:rsidR="00AD3320" w:rsidRPr="000324FE" w14:paraId="28E71B51" w14:textId="77777777" w:rsidTr="008245F4">
        <w:trPr>
          <w:cantSplit/>
          <w:trHeight w:val="20"/>
        </w:trPr>
        <w:tc>
          <w:tcPr>
            <w:tcW w:w="534" w:type="dxa"/>
            <w:vMerge w:val="restart"/>
            <w:shd w:val="clear" w:color="auto" w:fill="FFF2CC" w:themeFill="accent4" w:themeFillTint="33"/>
            <w:textDirection w:val="btLr"/>
            <w:vAlign w:val="center"/>
          </w:tcPr>
          <w:p w14:paraId="38754D00" w14:textId="77777777" w:rsidR="00AD3320" w:rsidRPr="009B5B67" w:rsidRDefault="00AD3320" w:rsidP="008245F4">
            <w:pPr>
              <w:ind w:left="113" w:right="113"/>
              <w:jc w:val="center"/>
              <w:rPr>
                <w:rFonts w:cs="Arial"/>
                <w:sz w:val="18"/>
                <w:szCs w:val="18"/>
                <w:lang w:val="en-GB"/>
              </w:rPr>
            </w:pPr>
            <w:r w:rsidRPr="009B5B67">
              <w:rPr>
                <w:rFonts w:cs="Arial"/>
                <w:sz w:val="18"/>
                <w:szCs w:val="18"/>
                <w:lang w:val="en-GB"/>
              </w:rPr>
              <w:t>PUBLIC HEALTH</w:t>
            </w:r>
          </w:p>
        </w:tc>
        <w:tc>
          <w:tcPr>
            <w:tcW w:w="1984" w:type="dxa"/>
            <w:shd w:val="clear" w:color="auto" w:fill="auto"/>
          </w:tcPr>
          <w:p w14:paraId="0717B95E" w14:textId="77777777" w:rsidR="00AD3320" w:rsidRPr="009B5B67" w:rsidRDefault="00AD3320" w:rsidP="008245F4">
            <w:pPr>
              <w:rPr>
                <w:rFonts w:cs="Arial"/>
                <w:sz w:val="18"/>
                <w:szCs w:val="18"/>
                <w:lang w:val="en-GB"/>
              </w:rPr>
            </w:pPr>
            <w:r w:rsidRPr="009B5B67">
              <w:rPr>
                <w:rFonts w:cs="Arial"/>
                <w:sz w:val="18"/>
                <w:szCs w:val="18"/>
                <w:lang w:val="en-GB"/>
              </w:rPr>
              <w:t xml:space="preserve">Development of action plans for respond to climate change in urban areas </w:t>
            </w:r>
          </w:p>
        </w:tc>
        <w:tc>
          <w:tcPr>
            <w:tcW w:w="2268" w:type="dxa"/>
            <w:shd w:val="clear" w:color="auto" w:fill="auto"/>
          </w:tcPr>
          <w:p w14:paraId="342EFFC0" w14:textId="77777777" w:rsidR="00AD3320" w:rsidRPr="009B5B67" w:rsidRDefault="00AD3320" w:rsidP="008245F4">
            <w:pPr>
              <w:rPr>
                <w:rFonts w:cs="Arial"/>
                <w:sz w:val="18"/>
                <w:szCs w:val="18"/>
                <w:lang w:val="en-GB"/>
              </w:rPr>
            </w:pPr>
            <w:r w:rsidRPr="009B5B67">
              <w:rPr>
                <w:rFonts w:cs="Arial"/>
                <w:sz w:val="18"/>
                <w:szCs w:val="18"/>
                <w:lang w:val="en-GB"/>
              </w:rPr>
              <w:t>Development of action plans with recommended measures to respond to climate change in urban areas</w:t>
            </w:r>
          </w:p>
        </w:tc>
        <w:tc>
          <w:tcPr>
            <w:tcW w:w="1843" w:type="dxa"/>
            <w:shd w:val="clear" w:color="auto" w:fill="auto"/>
          </w:tcPr>
          <w:p w14:paraId="0A162FDC" w14:textId="77777777" w:rsidR="00AD3320" w:rsidRPr="009B5B67" w:rsidRDefault="00AD3320" w:rsidP="008245F4">
            <w:pPr>
              <w:rPr>
                <w:rFonts w:cs="Arial"/>
                <w:sz w:val="18"/>
                <w:szCs w:val="18"/>
                <w:lang w:val="en-GB"/>
              </w:rPr>
            </w:pPr>
            <w:r w:rsidRPr="009B5B67">
              <w:rPr>
                <w:rFonts w:cs="Arial"/>
                <w:sz w:val="18"/>
                <w:szCs w:val="18"/>
                <w:lang w:val="en-GB"/>
              </w:rPr>
              <w:t>Public Health</w:t>
            </w:r>
          </w:p>
          <w:p w14:paraId="1036CCDD" w14:textId="77777777" w:rsidR="00AD3320" w:rsidRPr="009B5B67" w:rsidRDefault="00AD3320" w:rsidP="008245F4">
            <w:pPr>
              <w:rPr>
                <w:rFonts w:cs="Arial"/>
                <w:sz w:val="18"/>
                <w:szCs w:val="18"/>
                <w:lang w:val="en-GB"/>
              </w:rPr>
            </w:pPr>
            <w:r w:rsidRPr="009B5B67">
              <w:rPr>
                <w:rFonts w:cs="Arial"/>
                <w:sz w:val="18"/>
                <w:szCs w:val="18"/>
                <w:lang w:val="en-GB"/>
              </w:rPr>
              <w:t>Environmental Protection</w:t>
            </w:r>
          </w:p>
          <w:p w14:paraId="215DE7C5" w14:textId="77777777" w:rsidR="00AD3320" w:rsidRPr="009B5B67" w:rsidRDefault="00AD3320" w:rsidP="008245F4">
            <w:pPr>
              <w:rPr>
                <w:rFonts w:cs="Arial"/>
                <w:sz w:val="18"/>
                <w:szCs w:val="18"/>
                <w:lang w:val="en-GB"/>
              </w:rPr>
            </w:pPr>
          </w:p>
        </w:tc>
        <w:tc>
          <w:tcPr>
            <w:tcW w:w="1417" w:type="dxa"/>
            <w:shd w:val="clear" w:color="auto" w:fill="auto"/>
          </w:tcPr>
          <w:p w14:paraId="2A912DDC" w14:textId="77777777" w:rsidR="00AD3320" w:rsidRPr="009B5B67" w:rsidRDefault="00AD3320" w:rsidP="008245F4">
            <w:pPr>
              <w:rPr>
                <w:rFonts w:cs="Arial"/>
                <w:sz w:val="18"/>
                <w:szCs w:val="18"/>
                <w:lang w:val="en-GB"/>
              </w:rPr>
            </w:pPr>
            <w:r w:rsidRPr="009B5B67">
              <w:rPr>
                <w:rFonts w:cs="Arial"/>
                <w:sz w:val="18"/>
                <w:szCs w:val="18"/>
                <w:lang w:val="en-GB"/>
              </w:rPr>
              <w:t>Ministry of Health</w:t>
            </w:r>
          </w:p>
          <w:p w14:paraId="1E991ABB" w14:textId="77777777" w:rsidR="00AD3320" w:rsidRPr="009B5B67" w:rsidRDefault="00AD3320" w:rsidP="008245F4">
            <w:pPr>
              <w:rPr>
                <w:rFonts w:cs="Arial"/>
                <w:sz w:val="18"/>
                <w:szCs w:val="18"/>
                <w:lang w:val="en-GB"/>
              </w:rPr>
            </w:pPr>
            <w:r w:rsidRPr="009B5B67">
              <w:rPr>
                <w:rFonts w:cs="Arial"/>
                <w:sz w:val="18"/>
                <w:szCs w:val="18"/>
                <w:lang w:val="en-GB"/>
              </w:rPr>
              <w:t>Institute of Public Health of Serbia</w:t>
            </w:r>
          </w:p>
        </w:tc>
        <w:tc>
          <w:tcPr>
            <w:tcW w:w="1985" w:type="dxa"/>
            <w:shd w:val="clear" w:color="auto" w:fill="auto"/>
          </w:tcPr>
          <w:p w14:paraId="72A3282F" w14:textId="77777777" w:rsidR="00AD3320" w:rsidRPr="009B5B67" w:rsidRDefault="00AD3320" w:rsidP="008245F4">
            <w:pPr>
              <w:rPr>
                <w:rFonts w:cs="Arial"/>
                <w:sz w:val="18"/>
                <w:szCs w:val="18"/>
                <w:lang w:val="en-GB"/>
              </w:rPr>
            </w:pPr>
            <w:r w:rsidRPr="009B5B67">
              <w:rPr>
                <w:rFonts w:cs="Arial"/>
                <w:sz w:val="18"/>
                <w:szCs w:val="18"/>
                <w:lang w:val="en-GB"/>
              </w:rPr>
              <w:t>Number of developed action plans for urban areas (Ministry of Health)</w:t>
            </w:r>
          </w:p>
        </w:tc>
        <w:tc>
          <w:tcPr>
            <w:tcW w:w="2410" w:type="dxa"/>
            <w:shd w:val="clear" w:color="auto" w:fill="auto"/>
          </w:tcPr>
          <w:p w14:paraId="78499260" w14:textId="77777777" w:rsidR="00AD3320" w:rsidRPr="009B5B67" w:rsidRDefault="00AD3320" w:rsidP="008245F4">
            <w:pPr>
              <w:rPr>
                <w:rFonts w:cs="Arial"/>
                <w:sz w:val="18"/>
                <w:szCs w:val="18"/>
                <w:lang w:val="en-GB"/>
              </w:rPr>
            </w:pPr>
            <w:r w:rsidRPr="009B5B67">
              <w:rPr>
                <w:rFonts w:cs="Arial"/>
                <w:sz w:val="18"/>
                <w:szCs w:val="18"/>
                <w:lang w:val="en-GB"/>
              </w:rPr>
              <w:t>From 100.000 EUR to 1.000.000 EUR</w:t>
            </w:r>
          </w:p>
        </w:tc>
        <w:tc>
          <w:tcPr>
            <w:tcW w:w="1588" w:type="dxa"/>
            <w:shd w:val="clear" w:color="auto" w:fill="auto"/>
          </w:tcPr>
          <w:p w14:paraId="39815E18" w14:textId="77777777" w:rsidR="00AD3320" w:rsidRPr="009B5B67" w:rsidRDefault="00AD3320" w:rsidP="008245F4">
            <w:pPr>
              <w:rPr>
                <w:rFonts w:cs="Arial"/>
                <w:sz w:val="18"/>
                <w:szCs w:val="18"/>
                <w:lang w:val="en-GB"/>
              </w:rPr>
            </w:pPr>
            <w:r w:rsidRPr="009B5B67">
              <w:rPr>
                <w:rFonts w:cs="Arial"/>
                <w:sz w:val="18"/>
                <w:szCs w:val="18"/>
                <w:lang w:val="en-GB"/>
              </w:rPr>
              <w:t xml:space="preserve">Budget </w:t>
            </w:r>
          </w:p>
          <w:p w14:paraId="330383E1"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tc>
      </w:tr>
      <w:tr w:rsidR="00AD3320" w:rsidRPr="000324FE" w14:paraId="767FA1E6" w14:textId="77777777" w:rsidTr="008245F4">
        <w:trPr>
          <w:cantSplit/>
          <w:trHeight w:val="20"/>
        </w:trPr>
        <w:tc>
          <w:tcPr>
            <w:tcW w:w="534" w:type="dxa"/>
            <w:vMerge/>
            <w:shd w:val="clear" w:color="auto" w:fill="FFF2CC" w:themeFill="accent4" w:themeFillTint="33"/>
            <w:textDirection w:val="btLr"/>
            <w:vAlign w:val="center"/>
          </w:tcPr>
          <w:p w14:paraId="450FBE54"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0805766F" w14:textId="77777777" w:rsidR="00AD3320" w:rsidRPr="009B5B67" w:rsidRDefault="00AD3320" w:rsidP="008245F4">
            <w:pPr>
              <w:rPr>
                <w:rFonts w:cs="Arial"/>
                <w:sz w:val="18"/>
                <w:szCs w:val="18"/>
                <w:lang w:val="en-GB"/>
              </w:rPr>
            </w:pPr>
            <w:r w:rsidRPr="009B5B67">
              <w:rPr>
                <w:rFonts w:cs="Arial"/>
                <w:sz w:val="18"/>
                <w:szCs w:val="18"/>
                <w:lang w:val="en-GB"/>
              </w:rPr>
              <w:t xml:space="preserve">Establish monitoring of diseases introduced </w:t>
            </w:r>
            <w:proofErr w:type="gramStart"/>
            <w:r w:rsidRPr="009B5B67">
              <w:rPr>
                <w:rFonts w:cs="Arial"/>
                <w:sz w:val="18"/>
                <w:szCs w:val="18"/>
                <w:lang w:val="en-GB"/>
              </w:rPr>
              <w:t>as a consequence of</w:t>
            </w:r>
            <w:proofErr w:type="gramEnd"/>
            <w:r w:rsidRPr="009B5B67">
              <w:rPr>
                <w:rFonts w:cs="Arial"/>
                <w:sz w:val="18"/>
                <w:szCs w:val="18"/>
                <w:lang w:val="en-GB"/>
              </w:rPr>
              <w:t xml:space="preserve"> climate change and vectors that transmit them</w:t>
            </w:r>
          </w:p>
          <w:p w14:paraId="549D329A" w14:textId="77777777" w:rsidR="00AD3320" w:rsidRPr="009B5B67" w:rsidRDefault="00AD3320" w:rsidP="008245F4">
            <w:pPr>
              <w:rPr>
                <w:rFonts w:cs="Arial"/>
                <w:sz w:val="18"/>
                <w:szCs w:val="18"/>
                <w:lang w:val="en-GB"/>
              </w:rPr>
            </w:pPr>
          </w:p>
        </w:tc>
        <w:tc>
          <w:tcPr>
            <w:tcW w:w="2268" w:type="dxa"/>
            <w:shd w:val="clear" w:color="auto" w:fill="auto"/>
          </w:tcPr>
          <w:p w14:paraId="2DAB1337" w14:textId="77777777" w:rsidR="00AD3320" w:rsidRPr="009B5B67" w:rsidRDefault="00AD3320" w:rsidP="008245F4">
            <w:pPr>
              <w:rPr>
                <w:rFonts w:cs="Arial"/>
                <w:sz w:val="18"/>
                <w:szCs w:val="18"/>
                <w:lang w:val="en-GB"/>
              </w:rPr>
            </w:pPr>
            <w:r w:rsidRPr="009B5B67">
              <w:rPr>
                <w:rFonts w:cs="Arial"/>
                <w:sz w:val="18"/>
                <w:szCs w:val="18"/>
                <w:lang w:val="en-GB"/>
              </w:rPr>
              <w:t xml:space="preserve">Establish monitoring of diseases introduced </w:t>
            </w:r>
            <w:proofErr w:type="gramStart"/>
            <w:r w:rsidRPr="009B5B67">
              <w:rPr>
                <w:rFonts w:cs="Arial"/>
                <w:sz w:val="18"/>
                <w:szCs w:val="18"/>
                <w:lang w:val="en-GB"/>
              </w:rPr>
              <w:t>as a consequence of</w:t>
            </w:r>
            <w:proofErr w:type="gramEnd"/>
            <w:r w:rsidRPr="009B5B67">
              <w:rPr>
                <w:rFonts w:cs="Arial"/>
                <w:sz w:val="18"/>
                <w:szCs w:val="18"/>
                <w:lang w:val="en-GB"/>
              </w:rPr>
              <w:t xml:space="preserve"> climate change (West Nile, Chikungunya, etc.), as well as vectors (insects such as mosquitos) that transmit them</w:t>
            </w:r>
          </w:p>
        </w:tc>
        <w:tc>
          <w:tcPr>
            <w:tcW w:w="1843" w:type="dxa"/>
            <w:shd w:val="clear" w:color="auto" w:fill="auto"/>
          </w:tcPr>
          <w:p w14:paraId="170CF395" w14:textId="77777777" w:rsidR="00AD3320" w:rsidRPr="009B5B67" w:rsidRDefault="00AD3320" w:rsidP="008245F4">
            <w:pPr>
              <w:rPr>
                <w:rFonts w:cs="Arial"/>
                <w:sz w:val="18"/>
                <w:szCs w:val="18"/>
                <w:lang w:val="en-GB"/>
              </w:rPr>
            </w:pPr>
            <w:r w:rsidRPr="009B5B67">
              <w:rPr>
                <w:rFonts w:cs="Arial"/>
                <w:sz w:val="18"/>
                <w:szCs w:val="18"/>
                <w:lang w:val="en-GB"/>
              </w:rPr>
              <w:t>Public Health</w:t>
            </w:r>
          </w:p>
          <w:p w14:paraId="66E9635C" w14:textId="77777777" w:rsidR="00AD3320" w:rsidRPr="009B5B67" w:rsidRDefault="00AD3320" w:rsidP="008245F4">
            <w:pPr>
              <w:rPr>
                <w:rFonts w:cs="Arial"/>
                <w:sz w:val="18"/>
                <w:szCs w:val="18"/>
                <w:lang w:val="en-GB"/>
              </w:rPr>
            </w:pPr>
          </w:p>
        </w:tc>
        <w:tc>
          <w:tcPr>
            <w:tcW w:w="1417" w:type="dxa"/>
            <w:shd w:val="clear" w:color="auto" w:fill="auto"/>
          </w:tcPr>
          <w:p w14:paraId="22959E29" w14:textId="77777777" w:rsidR="00AD3320" w:rsidRPr="009B5B67" w:rsidRDefault="00AD3320" w:rsidP="008245F4">
            <w:pPr>
              <w:rPr>
                <w:rFonts w:cs="Arial"/>
                <w:sz w:val="18"/>
                <w:szCs w:val="18"/>
                <w:lang w:val="en-GB"/>
              </w:rPr>
            </w:pPr>
            <w:r w:rsidRPr="009B5B67">
              <w:rPr>
                <w:rFonts w:cs="Arial"/>
                <w:sz w:val="18"/>
                <w:szCs w:val="18"/>
                <w:lang w:val="en-GB"/>
              </w:rPr>
              <w:t>Ministry of Health</w:t>
            </w:r>
          </w:p>
          <w:p w14:paraId="60E14749" w14:textId="77777777" w:rsidR="00AD3320" w:rsidRPr="009B5B67" w:rsidRDefault="00AD3320" w:rsidP="008245F4">
            <w:pPr>
              <w:rPr>
                <w:rFonts w:cs="Arial"/>
                <w:sz w:val="18"/>
                <w:szCs w:val="18"/>
                <w:lang w:val="en-GB"/>
              </w:rPr>
            </w:pPr>
            <w:r w:rsidRPr="009B5B67">
              <w:rPr>
                <w:rFonts w:cs="Arial"/>
                <w:sz w:val="18"/>
                <w:szCs w:val="18"/>
                <w:lang w:val="en-GB"/>
              </w:rPr>
              <w:t>Institute of Public Health of Serbia</w:t>
            </w:r>
          </w:p>
          <w:p w14:paraId="3D78A4CB" w14:textId="77777777" w:rsidR="00AD3320" w:rsidRPr="009B5B67" w:rsidRDefault="00AD3320" w:rsidP="008245F4">
            <w:pPr>
              <w:rPr>
                <w:rFonts w:cs="Arial"/>
                <w:sz w:val="18"/>
                <w:szCs w:val="18"/>
                <w:lang w:val="en-GB"/>
              </w:rPr>
            </w:pPr>
          </w:p>
        </w:tc>
        <w:tc>
          <w:tcPr>
            <w:tcW w:w="1985" w:type="dxa"/>
            <w:shd w:val="clear" w:color="auto" w:fill="auto"/>
          </w:tcPr>
          <w:p w14:paraId="5856E174" w14:textId="77777777" w:rsidR="00AD3320" w:rsidRPr="009B5B67" w:rsidRDefault="00AD3320" w:rsidP="008245F4">
            <w:pPr>
              <w:rPr>
                <w:rFonts w:cs="Arial"/>
                <w:sz w:val="18"/>
                <w:szCs w:val="18"/>
                <w:lang w:val="en-GB"/>
              </w:rPr>
            </w:pPr>
            <w:r w:rsidRPr="009B5B67">
              <w:rPr>
                <w:rFonts w:cs="Arial"/>
                <w:sz w:val="18"/>
                <w:szCs w:val="18"/>
                <w:lang w:val="en-GB"/>
              </w:rPr>
              <w:t>Number of patients with diagnosed diseases that are introduced due to climate change and that have established monitoring system (Institute of Public Health of Serbia)</w:t>
            </w:r>
          </w:p>
        </w:tc>
        <w:tc>
          <w:tcPr>
            <w:tcW w:w="2410" w:type="dxa"/>
            <w:shd w:val="clear" w:color="auto" w:fill="auto"/>
          </w:tcPr>
          <w:p w14:paraId="1813F396" w14:textId="77777777" w:rsidR="00AD3320" w:rsidRPr="009B5B67" w:rsidRDefault="00AD3320" w:rsidP="008245F4">
            <w:pPr>
              <w:rPr>
                <w:rFonts w:cs="Arial"/>
                <w:sz w:val="18"/>
                <w:szCs w:val="18"/>
                <w:lang w:val="en-GB"/>
              </w:rPr>
            </w:pPr>
            <w:r w:rsidRPr="009B5B67">
              <w:rPr>
                <w:rFonts w:cs="Arial"/>
                <w:sz w:val="18"/>
                <w:szCs w:val="18"/>
                <w:lang w:val="en-GB"/>
              </w:rPr>
              <w:t>From 1.000.000 EUR to 10.000.000 EUR</w:t>
            </w:r>
          </w:p>
        </w:tc>
        <w:tc>
          <w:tcPr>
            <w:tcW w:w="1588" w:type="dxa"/>
            <w:shd w:val="clear" w:color="auto" w:fill="auto"/>
          </w:tcPr>
          <w:p w14:paraId="5074902B" w14:textId="77777777" w:rsidR="00AD3320" w:rsidRPr="009B5B67" w:rsidRDefault="00AD3320" w:rsidP="008245F4">
            <w:pPr>
              <w:rPr>
                <w:rFonts w:cs="Arial"/>
                <w:sz w:val="18"/>
                <w:szCs w:val="18"/>
                <w:lang w:val="en-GB"/>
              </w:rPr>
            </w:pPr>
            <w:r w:rsidRPr="009B5B67">
              <w:rPr>
                <w:rFonts w:cs="Arial"/>
                <w:sz w:val="18"/>
                <w:szCs w:val="18"/>
                <w:lang w:val="en-GB"/>
              </w:rPr>
              <w:t xml:space="preserve">Budget </w:t>
            </w:r>
          </w:p>
          <w:p w14:paraId="22CB90D3"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tc>
      </w:tr>
      <w:tr w:rsidR="00AD3320" w:rsidRPr="009B5B67" w14:paraId="5B7675E1" w14:textId="77777777" w:rsidTr="008245F4">
        <w:trPr>
          <w:cantSplit/>
          <w:trHeight w:val="20"/>
        </w:trPr>
        <w:tc>
          <w:tcPr>
            <w:tcW w:w="534" w:type="dxa"/>
            <w:vMerge/>
            <w:shd w:val="clear" w:color="auto" w:fill="FFF2CC" w:themeFill="accent4" w:themeFillTint="33"/>
            <w:textDirection w:val="btLr"/>
            <w:vAlign w:val="center"/>
          </w:tcPr>
          <w:p w14:paraId="1972FE0D"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6B88F82F" w14:textId="77777777" w:rsidR="00AD3320" w:rsidRPr="009B5B67" w:rsidRDefault="00AD3320" w:rsidP="008245F4">
            <w:pPr>
              <w:rPr>
                <w:rFonts w:cs="Arial"/>
                <w:sz w:val="18"/>
                <w:szCs w:val="18"/>
                <w:lang w:val="en-GB"/>
              </w:rPr>
            </w:pPr>
            <w:r w:rsidRPr="009B5B67">
              <w:rPr>
                <w:rFonts w:cs="Arial"/>
                <w:sz w:val="18"/>
                <w:szCs w:val="18"/>
                <w:lang w:val="en-GB"/>
              </w:rPr>
              <w:t>Improvement of scientific research on direct and indirect climate change impacts to human health in Serbia</w:t>
            </w:r>
          </w:p>
        </w:tc>
        <w:tc>
          <w:tcPr>
            <w:tcW w:w="2268" w:type="dxa"/>
            <w:shd w:val="clear" w:color="auto" w:fill="auto"/>
          </w:tcPr>
          <w:p w14:paraId="00A61D83" w14:textId="77777777" w:rsidR="00AD3320" w:rsidRPr="009B5B67" w:rsidRDefault="00AD3320" w:rsidP="008245F4">
            <w:pPr>
              <w:rPr>
                <w:rFonts w:cs="Arial"/>
                <w:sz w:val="18"/>
                <w:szCs w:val="18"/>
                <w:lang w:val="en-GB"/>
              </w:rPr>
            </w:pPr>
            <w:r w:rsidRPr="009B5B67">
              <w:rPr>
                <w:rFonts w:cs="Arial"/>
                <w:sz w:val="18"/>
                <w:szCs w:val="18"/>
                <w:lang w:val="en-GB"/>
              </w:rPr>
              <w:t xml:space="preserve">Improving cooperation among scientists and researchers from different research fields </w:t>
            </w:r>
            <w:proofErr w:type="gramStart"/>
            <w:r w:rsidRPr="009B5B67">
              <w:rPr>
                <w:rFonts w:cs="Arial"/>
                <w:sz w:val="18"/>
                <w:szCs w:val="18"/>
                <w:lang w:val="en-GB"/>
              </w:rPr>
              <w:t>in order to</w:t>
            </w:r>
            <w:proofErr w:type="gramEnd"/>
            <w:r w:rsidRPr="009B5B67">
              <w:rPr>
                <w:rFonts w:cs="Arial"/>
                <w:sz w:val="18"/>
                <w:szCs w:val="18"/>
                <w:lang w:val="en-GB"/>
              </w:rPr>
              <w:t xml:space="preserve"> investigate climate change impacts to human health in Serbia.</w:t>
            </w:r>
          </w:p>
        </w:tc>
        <w:tc>
          <w:tcPr>
            <w:tcW w:w="1843" w:type="dxa"/>
            <w:shd w:val="clear" w:color="auto" w:fill="auto"/>
          </w:tcPr>
          <w:p w14:paraId="7FC6D692" w14:textId="77777777" w:rsidR="00AD3320" w:rsidRPr="009B5B67" w:rsidRDefault="00AD3320" w:rsidP="008245F4">
            <w:pPr>
              <w:rPr>
                <w:rFonts w:cs="Arial"/>
                <w:sz w:val="18"/>
                <w:szCs w:val="18"/>
                <w:lang w:val="en-GB"/>
              </w:rPr>
            </w:pPr>
            <w:r w:rsidRPr="009B5B67">
              <w:rPr>
                <w:rFonts w:cs="Arial"/>
                <w:sz w:val="18"/>
                <w:szCs w:val="18"/>
                <w:lang w:val="en-GB"/>
              </w:rPr>
              <w:t>Public Health</w:t>
            </w:r>
          </w:p>
          <w:p w14:paraId="0A2290C9" w14:textId="77777777" w:rsidR="00AD3320" w:rsidRPr="009B5B67" w:rsidRDefault="00AD3320" w:rsidP="008245F4">
            <w:pPr>
              <w:rPr>
                <w:rFonts w:cs="Arial"/>
                <w:sz w:val="18"/>
                <w:szCs w:val="18"/>
                <w:lang w:val="en-GB"/>
              </w:rPr>
            </w:pPr>
          </w:p>
        </w:tc>
        <w:tc>
          <w:tcPr>
            <w:tcW w:w="1417" w:type="dxa"/>
            <w:shd w:val="clear" w:color="auto" w:fill="auto"/>
          </w:tcPr>
          <w:p w14:paraId="6B1923B1" w14:textId="77777777" w:rsidR="00AD3320" w:rsidRPr="00CD6DA4" w:rsidRDefault="00AD3320" w:rsidP="008245F4">
            <w:pPr>
              <w:rPr>
                <w:rFonts w:cs="Arial"/>
                <w:sz w:val="18"/>
                <w:szCs w:val="18"/>
              </w:rPr>
            </w:pPr>
            <w:r w:rsidRPr="00CD6DA4">
              <w:rPr>
                <w:rFonts w:cs="Arial"/>
                <w:sz w:val="18"/>
                <w:szCs w:val="18"/>
              </w:rPr>
              <w:t>Ministarstvo zdravlja</w:t>
            </w:r>
          </w:p>
          <w:p w14:paraId="3E7B31BD" w14:textId="77777777" w:rsidR="00AD3320" w:rsidRPr="00CD6DA4" w:rsidRDefault="00AD3320" w:rsidP="008245F4">
            <w:pPr>
              <w:rPr>
                <w:rFonts w:cs="Arial"/>
                <w:sz w:val="18"/>
                <w:szCs w:val="18"/>
              </w:rPr>
            </w:pPr>
            <w:r w:rsidRPr="00CD6DA4">
              <w:rPr>
                <w:rFonts w:cs="Arial"/>
                <w:sz w:val="18"/>
                <w:szCs w:val="18"/>
              </w:rPr>
              <w:t>Institut za javno zdravlje Srbije</w:t>
            </w:r>
          </w:p>
          <w:p w14:paraId="173003FE" w14:textId="77777777" w:rsidR="00AD3320" w:rsidRPr="009B5B67" w:rsidRDefault="00AD3320" w:rsidP="008245F4">
            <w:pPr>
              <w:rPr>
                <w:rFonts w:cs="Arial"/>
                <w:sz w:val="18"/>
                <w:szCs w:val="18"/>
                <w:lang w:val="en-GB"/>
              </w:rPr>
            </w:pPr>
            <w:proofErr w:type="spellStart"/>
            <w:r w:rsidRPr="009B5B67">
              <w:rPr>
                <w:rFonts w:cs="Arial"/>
                <w:sz w:val="18"/>
                <w:szCs w:val="18"/>
                <w:lang w:val="en-GB"/>
              </w:rPr>
              <w:t>Naučno-istraživačke</w:t>
            </w:r>
            <w:proofErr w:type="spellEnd"/>
            <w:r w:rsidRPr="009B5B67">
              <w:rPr>
                <w:rFonts w:cs="Arial"/>
                <w:sz w:val="18"/>
                <w:szCs w:val="18"/>
                <w:lang w:val="en-GB"/>
              </w:rPr>
              <w:t xml:space="preserve"> </w:t>
            </w:r>
            <w:proofErr w:type="spellStart"/>
            <w:r w:rsidRPr="009B5B67">
              <w:rPr>
                <w:rFonts w:cs="Arial"/>
                <w:sz w:val="18"/>
                <w:szCs w:val="18"/>
                <w:lang w:val="en-GB"/>
              </w:rPr>
              <w:t>ustanove</w:t>
            </w:r>
            <w:proofErr w:type="spellEnd"/>
          </w:p>
        </w:tc>
        <w:tc>
          <w:tcPr>
            <w:tcW w:w="1985" w:type="dxa"/>
            <w:shd w:val="clear" w:color="auto" w:fill="auto"/>
          </w:tcPr>
          <w:p w14:paraId="2815E311" w14:textId="77777777" w:rsidR="00AD3320" w:rsidRPr="009B5B67" w:rsidRDefault="00AD3320" w:rsidP="008245F4">
            <w:pPr>
              <w:rPr>
                <w:rFonts w:cs="Arial"/>
                <w:sz w:val="18"/>
                <w:szCs w:val="18"/>
                <w:lang w:val="en-GB"/>
              </w:rPr>
            </w:pPr>
            <w:r w:rsidRPr="009B5B67">
              <w:rPr>
                <w:rFonts w:cs="Arial"/>
                <w:sz w:val="18"/>
                <w:szCs w:val="18"/>
                <w:lang w:val="en-GB"/>
              </w:rPr>
              <w:t>Number of published scientific papers and funded research projects with a subject of climate change impact to human health</w:t>
            </w:r>
          </w:p>
          <w:p w14:paraId="6AB4DB10" w14:textId="77777777" w:rsidR="00AD3320" w:rsidRPr="009B5B67" w:rsidRDefault="00AD3320" w:rsidP="008245F4">
            <w:pPr>
              <w:rPr>
                <w:rFonts w:cs="Arial"/>
                <w:sz w:val="18"/>
                <w:szCs w:val="18"/>
                <w:lang w:val="en-GB"/>
              </w:rPr>
            </w:pPr>
            <w:r w:rsidRPr="009B5B67">
              <w:rPr>
                <w:rFonts w:cs="Arial"/>
                <w:sz w:val="18"/>
                <w:szCs w:val="18"/>
                <w:lang w:val="en-GB"/>
              </w:rPr>
              <w:t>(Ministry of Health)</w:t>
            </w:r>
          </w:p>
        </w:tc>
        <w:tc>
          <w:tcPr>
            <w:tcW w:w="2410" w:type="dxa"/>
            <w:shd w:val="clear" w:color="auto" w:fill="auto"/>
          </w:tcPr>
          <w:p w14:paraId="3744F77D" w14:textId="77777777" w:rsidR="00AD3320" w:rsidRPr="009B5B67" w:rsidRDefault="00AD3320" w:rsidP="008245F4">
            <w:pPr>
              <w:rPr>
                <w:rFonts w:cs="Arial"/>
                <w:sz w:val="18"/>
                <w:szCs w:val="18"/>
                <w:lang w:val="en-GB"/>
              </w:rPr>
            </w:pPr>
            <w:r w:rsidRPr="009B5B67">
              <w:rPr>
                <w:rFonts w:cs="Arial"/>
                <w:sz w:val="18"/>
                <w:szCs w:val="18"/>
                <w:lang w:val="en-GB"/>
              </w:rPr>
              <w:t>From 100.000 EUR to 1.000.000 EUR</w:t>
            </w:r>
          </w:p>
        </w:tc>
        <w:tc>
          <w:tcPr>
            <w:tcW w:w="1588" w:type="dxa"/>
            <w:shd w:val="clear" w:color="auto" w:fill="auto"/>
          </w:tcPr>
          <w:p w14:paraId="6BD747DB" w14:textId="77777777" w:rsidR="00AD3320" w:rsidRPr="009B5B67" w:rsidRDefault="00AD3320" w:rsidP="008245F4">
            <w:pPr>
              <w:rPr>
                <w:rFonts w:cs="Arial"/>
                <w:sz w:val="18"/>
                <w:szCs w:val="18"/>
                <w:lang w:val="en-GB"/>
              </w:rPr>
            </w:pPr>
            <w:r w:rsidRPr="009B5B67">
              <w:rPr>
                <w:rFonts w:cs="Arial"/>
                <w:sz w:val="18"/>
                <w:szCs w:val="18"/>
                <w:lang w:val="en-GB"/>
              </w:rPr>
              <w:t xml:space="preserve">Budget </w:t>
            </w:r>
          </w:p>
          <w:p w14:paraId="3CEC8768"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p w14:paraId="59137B85" w14:textId="77777777" w:rsidR="00AD3320" w:rsidRPr="009B5B67" w:rsidRDefault="00AD3320" w:rsidP="008245F4">
            <w:pPr>
              <w:rPr>
                <w:rFonts w:cs="Arial"/>
                <w:sz w:val="18"/>
                <w:szCs w:val="18"/>
                <w:lang w:val="en-GB"/>
              </w:rPr>
            </w:pPr>
            <w:r w:rsidRPr="009B5B67">
              <w:rPr>
                <w:rFonts w:cs="Arial"/>
                <w:sz w:val="18"/>
                <w:szCs w:val="18"/>
                <w:lang w:val="en-GB"/>
              </w:rPr>
              <w:t>International projects</w:t>
            </w:r>
          </w:p>
        </w:tc>
      </w:tr>
      <w:tr w:rsidR="00AD3320" w:rsidRPr="000324FE" w14:paraId="2BE5D73C" w14:textId="77777777" w:rsidTr="008245F4">
        <w:trPr>
          <w:cantSplit/>
          <w:trHeight w:val="20"/>
        </w:trPr>
        <w:tc>
          <w:tcPr>
            <w:tcW w:w="534" w:type="dxa"/>
            <w:vMerge w:val="restart"/>
            <w:shd w:val="clear" w:color="auto" w:fill="FBE4D5" w:themeFill="accent2" w:themeFillTint="33"/>
            <w:textDirection w:val="btLr"/>
            <w:vAlign w:val="center"/>
          </w:tcPr>
          <w:p w14:paraId="6A952D66" w14:textId="77777777" w:rsidR="00AD3320" w:rsidRPr="009B5B67" w:rsidRDefault="008245F4" w:rsidP="008245F4">
            <w:pPr>
              <w:ind w:left="113" w:right="113"/>
              <w:jc w:val="center"/>
              <w:rPr>
                <w:rFonts w:cs="Arial"/>
                <w:sz w:val="18"/>
                <w:szCs w:val="18"/>
                <w:lang w:val="en-GB"/>
              </w:rPr>
            </w:pPr>
            <w:r w:rsidRPr="009B5B67">
              <w:rPr>
                <w:rFonts w:cs="Arial"/>
                <w:sz w:val="18"/>
                <w:szCs w:val="18"/>
                <w:lang w:val="en-GB"/>
              </w:rPr>
              <w:t>Disaster risk reduction</w:t>
            </w:r>
          </w:p>
        </w:tc>
        <w:tc>
          <w:tcPr>
            <w:tcW w:w="1984" w:type="dxa"/>
            <w:shd w:val="clear" w:color="auto" w:fill="auto"/>
          </w:tcPr>
          <w:p w14:paraId="77FB9B23" w14:textId="77777777" w:rsidR="00AD3320" w:rsidRPr="009B5B67" w:rsidRDefault="00AD3320" w:rsidP="008245F4">
            <w:pPr>
              <w:rPr>
                <w:rFonts w:cs="Arial"/>
                <w:sz w:val="18"/>
                <w:szCs w:val="18"/>
                <w:lang w:val="en-GB"/>
              </w:rPr>
            </w:pPr>
            <w:r w:rsidRPr="009B5B67">
              <w:rPr>
                <w:rFonts w:cs="Arial"/>
                <w:sz w:val="18"/>
                <w:szCs w:val="18"/>
                <w:lang w:val="en-GB"/>
              </w:rPr>
              <w:t>Developing an efficient and comprehensive system for risk reduction and assessment and monitoring losses and damages due to natural hazards that are caused by climate change</w:t>
            </w:r>
          </w:p>
        </w:tc>
        <w:tc>
          <w:tcPr>
            <w:tcW w:w="2268" w:type="dxa"/>
            <w:shd w:val="clear" w:color="auto" w:fill="auto"/>
          </w:tcPr>
          <w:p w14:paraId="0A7B7BF0" w14:textId="77777777" w:rsidR="00AD3320" w:rsidRPr="009B5B67" w:rsidRDefault="00AD3320" w:rsidP="008245F4">
            <w:pPr>
              <w:rPr>
                <w:rFonts w:cs="Arial"/>
                <w:sz w:val="18"/>
                <w:szCs w:val="18"/>
                <w:lang w:val="en-GB"/>
              </w:rPr>
            </w:pPr>
            <w:r w:rsidRPr="009B5B67">
              <w:rPr>
                <w:rFonts w:cs="Arial"/>
                <w:sz w:val="18"/>
                <w:szCs w:val="18"/>
                <w:lang w:val="en-GB"/>
              </w:rPr>
              <w:t xml:space="preserve">Development of detailed methodology for assessment of damages and losses due to natural hazards that are caused by climate change in all sectors. Establishing monitoring system for losses and damages in all relevant sectors. Improvement of using </w:t>
            </w:r>
            <w:proofErr w:type="spellStart"/>
            <w:r w:rsidRPr="009B5B67">
              <w:rPr>
                <w:rFonts w:cs="Arial"/>
                <w:sz w:val="18"/>
                <w:szCs w:val="18"/>
                <w:lang w:val="en-GB"/>
              </w:rPr>
              <w:t>DesInventar</w:t>
            </w:r>
            <w:proofErr w:type="spellEnd"/>
            <w:r w:rsidRPr="009B5B67">
              <w:rPr>
                <w:rFonts w:cs="Arial"/>
                <w:sz w:val="18"/>
                <w:szCs w:val="18"/>
                <w:lang w:val="en-GB"/>
              </w:rPr>
              <w:t>.</w:t>
            </w:r>
          </w:p>
        </w:tc>
        <w:tc>
          <w:tcPr>
            <w:tcW w:w="1843" w:type="dxa"/>
            <w:shd w:val="clear" w:color="auto" w:fill="auto"/>
          </w:tcPr>
          <w:p w14:paraId="3E4E6128" w14:textId="77777777" w:rsidR="00AD3320" w:rsidRPr="009B5B67" w:rsidRDefault="00AD3320" w:rsidP="008245F4">
            <w:pPr>
              <w:rPr>
                <w:rFonts w:cs="Arial"/>
                <w:sz w:val="18"/>
                <w:szCs w:val="18"/>
                <w:lang w:val="en-GB"/>
              </w:rPr>
            </w:pPr>
            <w:r w:rsidRPr="009B5B67">
              <w:rPr>
                <w:rFonts w:cs="Arial"/>
                <w:sz w:val="18"/>
                <w:szCs w:val="18"/>
                <w:lang w:val="en-GB"/>
              </w:rPr>
              <w:t>All sectors</w:t>
            </w:r>
          </w:p>
        </w:tc>
        <w:tc>
          <w:tcPr>
            <w:tcW w:w="1417" w:type="dxa"/>
            <w:shd w:val="clear" w:color="auto" w:fill="auto"/>
          </w:tcPr>
          <w:p w14:paraId="5FF2137F" w14:textId="77777777" w:rsidR="00AD3320" w:rsidRPr="009B5B67" w:rsidRDefault="00AD3320" w:rsidP="008245F4">
            <w:pPr>
              <w:rPr>
                <w:rFonts w:cs="Arial"/>
                <w:sz w:val="18"/>
                <w:szCs w:val="18"/>
                <w:lang w:val="en-GB"/>
              </w:rPr>
            </w:pPr>
            <w:r w:rsidRPr="009B5B67">
              <w:rPr>
                <w:rFonts w:cs="Arial"/>
                <w:sz w:val="18"/>
                <w:szCs w:val="18"/>
                <w:lang w:val="en-GB"/>
              </w:rPr>
              <w:t xml:space="preserve">Ministry of Internal Affairs </w:t>
            </w:r>
          </w:p>
          <w:p w14:paraId="64E2D26A" w14:textId="77777777" w:rsidR="00AD3320" w:rsidRPr="009B5B67" w:rsidRDefault="00AD3320" w:rsidP="008245F4">
            <w:pPr>
              <w:rPr>
                <w:rFonts w:cs="Arial"/>
                <w:sz w:val="18"/>
                <w:szCs w:val="18"/>
                <w:lang w:val="en-GB"/>
              </w:rPr>
            </w:pPr>
          </w:p>
        </w:tc>
        <w:tc>
          <w:tcPr>
            <w:tcW w:w="1985" w:type="dxa"/>
            <w:shd w:val="clear" w:color="auto" w:fill="auto"/>
          </w:tcPr>
          <w:p w14:paraId="6CAF2032" w14:textId="77777777" w:rsidR="00AD3320" w:rsidRPr="009B5B67" w:rsidRDefault="00AD3320" w:rsidP="008245F4">
            <w:pPr>
              <w:rPr>
                <w:rFonts w:cs="Arial"/>
                <w:sz w:val="18"/>
                <w:szCs w:val="18"/>
                <w:lang w:val="en-GB"/>
              </w:rPr>
            </w:pPr>
            <w:r w:rsidRPr="009B5B67">
              <w:rPr>
                <w:rFonts w:cs="Arial"/>
                <w:sz w:val="18"/>
                <w:szCs w:val="18"/>
                <w:lang w:val="en-GB"/>
              </w:rPr>
              <w:t>Developed methodology for assessment of losses and damages and established monitoring system (Ministry of Internal Affairs)</w:t>
            </w:r>
          </w:p>
          <w:p w14:paraId="15730964" w14:textId="77777777" w:rsidR="00AD3320" w:rsidRPr="009B5B67" w:rsidRDefault="00AD3320" w:rsidP="008245F4">
            <w:pPr>
              <w:rPr>
                <w:rFonts w:cs="Arial"/>
                <w:sz w:val="18"/>
                <w:szCs w:val="18"/>
                <w:lang w:val="en-GB"/>
              </w:rPr>
            </w:pPr>
          </w:p>
          <w:p w14:paraId="793BF21A" w14:textId="77777777" w:rsidR="00AD3320" w:rsidRPr="009B5B67" w:rsidRDefault="00AD3320" w:rsidP="008245F4">
            <w:pPr>
              <w:rPr>
                <w:rFonts w:cs="Arial"/>
                <w:sz w:val="18"/>
                <w:szCs w:val="18"/>
                <w:lang w:val="en-GB"/>
              </w:rPr>
            </w:pPr>
          </w:p>
        </w:tc>
        <w:tc>
          <w:tcPr>
            <w:tcW w:w="2410" w:type="dxa"/>
            <w:shd w:val="clear" w:color="auto" w:fill="auto"/>
          </w:tcPr>
          <w:p w14:paraId="0BC3D92B" w14:textId="77777777" w:rsidR="00AD3320" w:rsidRPr="009B5B67" w:rsidRDefault="00AD3320" w:rsidP="008245F4">
            <w:pPr>
              <w:rPr>
                <w:rFonts w:cs="Arial"/>
                <w:sz w:val="18"/>
                <w:szCs w:val="18"/>
                <w:lang w:val="en-GB"/>
              </w:rPr>
            </w:pPr>
            <w:r w:rsidRPr="009B5B67">
              <w:rPr>
                <w:rFonts w:cs="Arial"/>
                <w:sz w:val="18"/>
                <w:szCs w:val="18"/>
                <w:lang w:val="en-GB"/>
              </w:rPr>
              <w:t>From 1.000.000 EUR to 10.000.000 EUR</w:t>
            </w:r>
          </w:p>
        </w:tc>
        <w:tc>
          <w:tcPr>
            <w:tcW w:w="1588" w:type="dxa"/>
            <w:shd w:val="clear" w:color="auto" w:fill="auto"/>
          </w:tcPr>
          <w:p w14:paraId="736EF4B3" w14:textId="77777777" w:rsidR="00AD3320" w:rsidRPr="009B5B67" w:rsidRDefault="00AD3320" w:rsidP="008245F4">
            <w:pPr>
              <w:rPr>
                <w:rFonts w:cs="Arial"/>
                <w:sz w:val="18"/>
                <w:szCs w:val="18"/>
                <w:lang w:val="en-GB"/>
              </w:rPr>
            </w:pPr>
            <w:r w:rsidRPr="009B5B67">
              <w:rPr>
                <w:rFonts w:cs="Arial"/>
                <w:sz w:val="18"/>
                <w:szCs w:val="18"/>
                <w:lang w:val="en-GB"/>
              </w:rPr>
              <w:t xml:space="preserve">Budget </w:t>
            </w:r>
          </w:p>
          <w:p w14:paraId="02AE6C12"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p w14:paraId="78749786" w14:textId="77777777" w:rsidR="00AD3320" w:rsidRPr="009B5B67" w:rsidRDefault="00AD3320" w:rsidP="008245F4">
            <w:pPr>
              <w:rPr>
                <w:rFonts w:cs="Arial"/>
                <w:sz w:val="18"/>
                <w:szCs w:val="18"/>
                <w:lang w:val="en-GB"/>
              </w:rPr>
            </w:pPr>
          </w:p>
        </w:tc>
      </w:tr>
      <w:tr w:rsidR="00AD3320" w:rsidRPr="000324FE" w14:paraId="15829DCB" w14:textId="77777777" w:rsidTr="008245F4">
        <w:trPr>
          <w:cantSplit/>
          <w:trHeight w:val="20"/>
        </w:trPr>
        <w:tc>
          <w:tcPr>
            <w:tcW w:w="534" w:type="dxa"/>
            <w:vMerge/>
            <w:shd w:val="clear" w:color="auto" w:fill="FBE4D5" w:themeFill="accent2" w:themeFillTint="33"/>
            <w:textDirection w:val="btLr"/>
            <w:vAlign w:val="center"/>
          </w:tcPr>
          <w:p w14:paraId="2B7EE467"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3E0D0176" w14:textId="77777777" w:rsidR="00AD3320" w:rsidRPr="009B5B67" w:rsidRDefault="00AD3320" w:rsidP="008245F4">
            <w:pPr>
              <w:rPr>
                <w:rFonts w:cs="Arial"/>
                <w:sz w:val="18"/>
                <w:szCs w:val="18"/>
                <w:lang w:val="en-GB"/>
              </w:rPr>
            </w:pPr>
            <w:r w:rsidRPr="009B5B67">
              <w:rPr>
                <w:rFonts w:cs="Arial"/>
                <w:sz w:val="18"/>
                <w:szCs w:val="18"/>
                <w:lang w:val="en-GB"/>
              </w:rPr>
              <w:t>Improvement of monitoring, forecast and early warning hydro-meteorological systems</w:t>
            </w:r>
          </w:p>
        </w:tc>
        <w:tc>
          <w:tcPr>
            <w:tcW w:w="2268" w:type="dxa"/>
            <w:shd w:val="clear" w:color="auto" w:fill="auto"/>
          </w:tcPr>
          <w:p w14:paraId="13FDCEA2" w14:textId="77777777" w:rsidR="00AD3320" w:rsidRPr="009B5B67" w:rsidRDefault="00AD3320" w:rsidP="008245F4">
            <w:pPr>
              <w:rPr>
                <w:rFonts w:cs="Arial"/>
                <w:sz w:val="18"/>
                <w:szCs w:val="18"/>
                <w:lang w:val="en-GB"/>
              </w:rPr>
            </w:pPr>
            <w:r w:rsidRPr="009B5B67">
              <w:rPr>
                <w:rFonts w:cs="Arial"/>
                <w:sz w:val="18"/>
                <w:szCs w:val="18"/>
                <w:lang w:val="en-GB"/>
              </w:rPr>
              <w:t>Improvement of meteorological and hydrological observation and monitoring systems. Improvement of operational meteorological and hydrological forecasts quality. Establishing an effective system of dissemination and information use in all relevant sectors</w:t>
            </w:r>
          </w:p>
        </w:tc>
        <w:tc>
          <w:tcPr>
            <w:tcW w:w="1843" w:type="dxa"/>
            <w:shd w:val="clear" w:color="auto" w:fill="auto"/>
          </w:tcPr>
          <w:p w14:paraId="0AECCA43" w14:textId="77777777" w:rsidR="00AD3320" w:rsidRPr="009B5B67" w:rsidRDefault="00AD3320" w:rsidP="008245F4">
            <w:pPr>
              <w:rPr>
                <w:rFonts w:cs="Arial"/>
                <w:sz w:val="18"/>
                <w:szCs w:val="18"/>
                <w:lang w:val="en-GB"/>
              </w:rPr>
            </w:pPr>
            <w:r w:rsidRPr="009B5B67">
              <w:rPr>
                <w:rFonts w:cs="Arial"/>
                <w:sz w:val="18"/>
                <w:szCs w:val="18"/>
                <w:lang w:val="en-GB"/>
              </w:rPr>
              <w:t>All sectors</w:t>
            </w:r>
          </w:p>
        </w:tc>
        <w:tc>
          <w:tcPr>
            <w:tcW w:w="1417" w:type="dxa"/>
            <w:shd w:val="clear" w:color="auto" w:fill="auto"/>
          </w:tcPr>
          <w:p w14:paraId="391822AA" w14:textId="77777777" w:rsidR="00AD3320" w:rsidRPr="009B5B67" w:rsidRDefault="00AD3320" w:rsidP="008245F4">
            <w:pPr>
              <w:rPr>
                <w:rFonts w:cs="Arial"/>
                <w:sz w:val="18"/>
                <w:szCs w:val="18"/>
                <w:lang w:val="en-GB"/>
              </w:rPr>
            </w:pPr>
            <w:r w:rsidRPr="009B5B67">
              <w:rPr>
                <w:rFonts w:cs="Arial"/>
                <w:sz w:val="18"/>
                <w:szCs w:val="18"/>
                <w:lang w:val="en-GB"/>
              </w:rPr>
              <w:t xml:space="preserve">Ministry of Internal Affairs </w:t>
            </w:r>
          </w:p>
          <w:p w14:paraId="6DF6A1AE" w14:textId="77777777" w:rsidR="00AD3320" w:rsidRPr="009B5B67" w:rsidRDefault="00AD3320" w:rsidP="008245F4">
            <w:pPr>
              <w:rPr>
                <w:rFonts w:cs="Arial"/>
                <w:sz w:val="18"/>
                <w:szCs w:val="18"/>
                <w:lang w:val="en-GB"/>
              </w:rPr>
            </w:pPr>
            <w:r w:rsidRPr="009B5B67">
              <w:rPr>
                <w:rFonts w:cs="Arial"/>
                <w:sz w:val="18"/>
                <w:szCs w:val="18"/>
                <w:lang w:val="en-GB"/>
              </w:rPr>
              <w:t>Republic Hydrometeorological Service of Serbia</w:t>
            </w:r>
          </w:p>
          <w:p w14:paraId="29A58CD2" w14:textId="77777777" w:rsidR="00AD3320" w:rsidRPr="009B5B67" w:rsidRDefault="00AD3320" w:rsidP="008245F4">
            <w:pPr>
              <w:rPr>
                <w:rFonts w:cs="Arial"/>
                <w:sz w:val="18"/>
                <w:szCs w:val="18"/>
                <w:lang w:val="en-GB"/>
              </w:rPr>
            </w:pPr>
          </w:p>
        </w:tc>
        <w:tc>
          <w:tcPr>
            <w:tcW w:w="1985" w:type="dxa"/>
            <w:shd w:val="clear" w:color="auto" w:fill="auto"/>
          </w:tcPr>
          <w:p w14:paraId="4F180A76" w14:textId="77777777" w:rsidR="00AD3320" w:rsidRPr="009B5B67" w:rsidRDefault="00AD3320" w:rsidP="008245F4">
            <w:pPr>
              <w:rPr>
                <w:rFonts w:cs="Arial"/>
                <w:sz w:val="18"/>
                <w:szCs w:val="18"/>
                <w:lang w:val="en-GB"/>
              </w:rPr>
            </w:pPr>
            <w:r w:rsidRPr="009B5B67">
              <w:rPr>
                <w:rFonts w:cs="Arial"/>
                <w:sz w:val="18"/>
                <w:szCs w:val="18"/>
                <w:lang w:val="en-GB"/>
              </w:rPr>
              <w:t>Number of users of forecast and early warning system (Hydrometeorological Service of Serbia)</w:t>
            </w:r>
          </w:p>
        </w:tc>
        <w:tc>
          <w:tcPr>
            <w:tcW w:w="2410" w:type="dxa"/>
            <w:shd w:val="clear" w:color="auto" w:fill="auto"/>
          </w:tcPr>
          <w:p w14:paraId="68563738" w14:textId="77777777" w:rsidR="00AD3320" w:rsidRPr="009B5B67" w:rsidRDefault="00AD3320" w:rsidP="008245F4">
            <w:pPr>
              <w:rPr>
                <w:rFonts w:cs="Arial"/>
                <w:sz w:val="18"/>
                <w:szCs w:val="18"/>
                <w:lang w:val="en-GB"/>
              </w:rPr>
            </w:pPr>
            <w:r w:rsidRPr="009B5B67">
              <w:rPr>
                <w:rFonts w:cs="Arial"/>
                <w:sz w:val="18"/>
                <w:szCs w:val="18"/>
                <w:lang w:val="en-GB"/>
              </w:rPr>
              <w:t>From 10.000.000 EUR to 100.000.000 EUR</w:t>
            </w:r>
          </w:p>
          <w:p w14:paraId="4E913DD4" w14:textId="77777777" w:rsidR="00AD3320" w:rsidRPr="009B5B67" w:rsidRDefault="00AD3320" w:rsidP="008245F4">
            <w:pPr>
              <w:rPr>
                <w:rFonts w:cs="Arial"/>
                <w:sz w:val="18"/>
                <w:szCs w:val="18"/>
                <w:lang w:val="en-GB"/>
              </w:rPr>
            </w:pPr>
          </w:p>
          <w:p w14:paraId="34FDC9BB" w14:textId="77777777" w:rsidR="00AD3320" w:rsidRPr="009B5B67" w:rsidRDefault="00AD3320" w:rsidP="008245F4">
            <w:pPr>
              <w:rPr>
                <w:rFonts w:cs="Arial"/>
                <w:sz w:val="18"/>
                <w:szCs w:val="18"/>
                <w:lang w:val="en-GB"/>
              </w:rPr>
            </w:pPr>
            <w:r w:rsidRPr="009B5B67">
              <w:rPr>
                <w:rFonts w:cs="Arial"/>
                <w:sz w:val="18"/>
                <w:szCs w:val="18"/>
                <w:lang w:val="en-GB"/>
              </w:rPr>
              <w:t>(10.000.000 EUR for pilot region)</w:t>
            </w:r>
          </w:p>
        </w:tc>
        <w:tc>
          <w:tcPr>
            <w:tcW w:w="1588" w:type="dxa"/>
            <w:shd w:val="clear" w:color="auto" w:fill="auto"/>
          </w:tcPr>
          <w:p w14:paraId="0730CB00" w14:textId="77777777" w:rsidR="00AD3320" w:rsidRPr="009B5B67" w:rsidRDefault="00AD3320" w:rsidP="008245F4">
            <w:pPr>
              <w:rPr>
                <w:rFonts w:cs="Arial"/>
                <w:sz w:val="18"/>
                <w:szCs w:val="18"/>
                <w:lang w:val="en-GB"/>
              </w:rPr>
            </w:pPr>
            <w:r w:rsidRPr="009B5B67">
              <w:rPr>
                <w:rFonts w:cs="Arial"/>
                <w:sz w:val="18"/>
                <w:szCs w:val="18"/>
                <w:lang w:val="en-GB"/>
              </w:rPr>
              <w:t xml:space="preserve">Budget </w:t>
            </w:r>
          </w:p>
          <w:p w14:paraId="75E87E16" w14:textId="77777777" w:rsidR="00AD3320" w:rsidRPr="009B5B67" w:rsidRDefault="00AD3320" w:rsidP="008245F4">
            <w:pPr>
              <w:rPr>
                <w:rFonts w:cs="Arial"/>
                <w:sz w:val="18"/>
                <w:szCs w:val="18"/>
                <w:lang w:val="en-GB"/>
              </w:rPr>
            </w:pPr>
            <w:r w:rsidRPr="009B5B67">
              <w:rPr>
                <w:rFonts w:cs="Arial"/>
                <w:sz w:val="18"/>
                <w:szCs w:val="18"/>
                <w:lang w:val="en-GB"/>
              </w:rPr>
              <w:t>International funds (Adaptation Fund, GCF, GEF)</w:t>
            </w:r>
          </w:p>
          <w:p w14:paraId="733A0FF2" w14:textId="77777777" w:rsidR="00AD3320" w:rsidRPr="009B5B67" w:rsidRDefault="00AD3320" w:rsidP="008245F4">
            <w:pPr>
              <w:rPr>
                <w:rFonts w:cs="Arial"/>
                <w:sz w:val="18"/>
                <w:szCs w:val="18"/>
                <w:lang w:val="en-GB"/>
              </w:rPr>
            </w:pPr>
          </w:p>
        </w:tc>
      </w:tr>
      <w:tr w:rsidR="00AD3320" w:rsidRPr="009B5B67" w14:paraId="50F2288A" w14:textId="77777777" w:rsidTr="008245F4">
        <w:trPr>
          <w:cantSplit/>
          <w:trHeight w:val="20"/>
        </w:trPr>
        <w:tc>
          <w:tcPr>
            <w:tcW w:w="534" w:type="dxa"/>
            <w:vMerge/>
            <w:shd w:val="clear" w:color="auto" w:fill="FBE4D5" w:themeFill="accent2" w:themeFillTint="33"/>
            <w:textDirection w:val="btLr"/>
            <w:vAlign w:val="center"/>
          </w:tcPr>
          <w:p w14:paraId="4EEC375B" w14:textId="77777777" w:rsidR="00AD3320" w:rsidRPr="009B5B67" w:rsidRDefault="00AD3320" w:rsidP="008245F4">
            <w:pPr>
              <w:ind w:left="113" w:right="113"/>
              <w:jc w:val="center"/>
              <w:rPr>
                <w:rFonts w:cs="Arial"/>
                <w:sz w:val="18"/>
                <w:szCs w:val="18"/>
                <w:lang w:val="en-GB"/>
              </w:rPr>
            </w:pPr>
          </w:p>
        </w:tc>
        <w:tc>
          <w:tcPr>
            <w:tcW w:w="1984" w:type="dxa"/>
            <w:shd w:val="clear" w:color="auto" w:fill="auto"/>
          </w:tcPr>
          <w:p w14:paraId="57148A41" w14:textId="77777777" w:rsidR="00AD3320" w:rsidRPr="009B5B67" w:rsidRDefault="00AD3320" w:rsidP="008245F4">
            <w:pPr>
              <w:rPr>
                <w:rFonts w:cs="Arial"/>
                <w:sz w:val="18"/>
                <w:szCs w:val="18"/>
                <w:lang w:val="en-GB"/>
              </w:rPr>
            </w:pPr>
            <w:r w:rsidRPr="009B5B67">
              <w:rPr>
                <w:rFonts w:cs="Arial"/>
                <w:sz w:val="18"/>
                <w:szCs w:val="18"/>
                <w:lang w:val="en-GB"/>
              </w:rPr>
              <w:t>Integration climate change projections into national and other risk assessments</w:t>
            </w:r>
          </w:p>
        </w:tc>
        <w:tc>
          <w:tcPr>
            <w:tcW w:w="2268" w:type="dxa"/>
            <w:shd w:val="clear" w:color="auto" w:fill="auto"/>
          </w:tcPr>
          <w:p w14:paraId="4A08C48B" w14:textId="77777777" w:rsidR="00AD3320" w:rsidRPr="009B5B67" w:rsidRDefault="00AD3320" w:rsidP="008245F4">
            <w:pPr>
              <w:rPr>
                <w:rFonts w:cs="Arial"/>
                <w:sz w:val="18"/>
                <w:szCs w:val="18"/>
                <w:lang w:val="en-GB"/>
              </w:rPr>
            </w:pPr>
            <w:r w:rsidRPr="009B5B67">
              <w:rPr>
                <w:rFonts w:cs="Arial"/>
                <w:sz w:val="18"/>
                <w:szCs w:val="18"/>
                <w:lang w:val="en-GB"/>
              </w:rPr>
              <w:t>Update national and local risk assessments by including quantified impacts of climate change on frequency and intensity of natural hazards in the future.</w:t>
            </w:r>
          </w:p>
        </w:tc>
        <w:tc>
          <w:tcPr>
            <w:tcW w:w="1843" w:type="dxa"/>
            <w:shd w:val="clear" w:color="auto" w:fill="auto"/>
          </w:tcPr>
          <w:p w14:paraId="4D68D5AC" w14:textId="77777777" w:rsidR="00AD3320" w:rsidRPr="009B5B67" w:rsidRDefault="00AD3320" w:rsidP="008245F4">
            <w:pPr>
              <w:rPr>
                <w:rFonts w:cs="Arial"/>
                <w:sz w:val="18"/>
                <w:szCs w:val="18"/>
                <w:lang w:val="en-GB"/>
              </w:rPr>
            </w:pPr>
            <w:r w:rsidRPr="009B5B67">
              <w:rPr>
                <w:rFonts w:cs="Arial"/>
                <w:sz w:val="18"/>
                <w:szCs w:val="18"/>
                <w:lang w:val="en-GB"/>
              </w:rPr>
              <w:t>All sectors</w:t>
            </w:r>
          </w:p>
        </w:tc>
        <w:tc>
          <w:tcPr>
            <w:tcW w:w="1417" w:type="dxa"/>
            <w:shd w:val="clear" w:color="auto" w:fill="auto"/>
          </w:tcPr>
          <w:p w14:paraId="49DA04C5" w14:textId="77777777" w:rsidR="00AD3320" w:rsidRPr="009B5B67" w:rsidRDefault="00AD3320" w:rsidP="008245F4">
            <w:pPr>
              <w:rPr>
                <w:rFonts w:cs="Arial"/>
                <w:sz w:val="18"/>
                <w:szCs w:val="18"/>
                <w:lang w:val="en-GB"/>
              </w:rPr>
            </w:pPr>
            <w:r w:rsidRPr="009B5B67">
              <w:rPr>
                <w:rFonts w:cs="Arial"/>
                <w:sz w:val="18"/>
                <w:szCs w:val="18"/>
                <w:lang w:val="en-GB"/>
              </w:rPr>
              <w:t>Ministry of Internal Affairs</w:t>
            </w:r>
          </w:p>
        </w:tc>
        <w:tc>
          <w:tcPr>
            <w:tcW w:w="1985" w:type="dxa"/>
            <w:shd w:val="clear" w:color="auto" w:fill="auto"/>
          </w:tcPr>
          <w:p w14:paraId="4BF5D8E0" w14:textId="77777777" w:rsidR="00AD3320" w:rsidRPr="009B5B67" w:rsidRDefault="00AD3320" w:rsidP="008245F4">
            <w:pPr>
              <w:rPr>
                <w:rFonts w:cs="Arial"/>
                <w:sz w:val="18"/>
                <w:szCs w:val="18"/>
                <w:lang w:val="en-GB"/>
              </w:rPr>
            </w:pPr>
            <w:r w:rsidRPr="009B5B67">
              <w:rPr>
                <w:rFonts w:cs="Arial"/>
                <w:sz w:val="18"/>
                <w:szCs w:val="18"/>
                <w:lang w:val="en-GB"/>
              </w:rPr>
              <w:t>Number of issued approvals for risk assessments with incorporated climate change projections (Ministry of Internal Affairs)</w:t>
            </w:r>
          </w:p>
        </w:tc>
        <w:tc>
          <w:tcPr>
            <w:tcW w:w="2410" w:type="dxa"/>
            <w:shd w:val="clear" w:color="auto" w:fill="auto"/>
          </w:tcPr>
          <w:p w14:paraId="318DE503" w14:textId="77777777" w:rsidR="00AD3320" w:rsidRPr="009B5B67" w:rsidRDefault="00AD3320" w:rsidP="008245F4">
            <w:pPr>
              <w:rPr>
                <w:rFonts w:cs="Arial"/>
                <w:sz w:val="18"/>
                <w:szCs w:val="18"/>
                <w:lang w:val="en-GB"/>
              </w:rPr>
            </w:pPr>
            <w:r w:rsidRPr="009B5B67">
              <w:rPr>
                <w:rFonts w:cs="Arial"/>
                <w:sz w:val="18"/>
                <w:szCs w:val="18"/>
                <w:lang w:val="en-GB"/>
              </w:rPr>
              <w:t>From 100.000 EUR to 1.000.000 EUR</w:t>
            </w:r>
          </w:p>
        </w:tc>
        <w:tc>
          <w:tcPr>
            <w:tcW w:w="1588" w:type="dxa"/>
            <w:shd w:val="clear" w:color="auto" w:fill="auto"/>
          </w:tcPr>
          <w:p w14:paraId="2B97838D" w14:textId="77777777" w:rsidR="00AD3320" w:rsidRPr="009B5B67" w:rsidRDefault="00AD3320" w:rsidP="008245F4">
            <w:pPr>
              <w:rPr>
                <w:rFonts w:cs="Arial"/>
                <w:sz w:val="18"/>
                <w:szCs w:val="18"/>
                <w:lang w:val="en-GB"/>
              </w:rPr>
            </w:pPr>
            <w:r w:rsidRPr="009B5B67">
              <w:rPr>
                <w:rFonts w:cs="Arial"/>
                <w:sz w:val="18"/>
                <w:szCs w:val="18"/>
                <w:lang w:val="en-GB"/>
              </w:rPr>
              <w:t xml:space="preserve">Budget </w:t>
            </w:r>
          </w:p>
          <w:p w14:paraId="6E9E7B6E" w14:textId="77777777" w:rsidR="00AD3320" w:rsidRPr="009B5B67" w:rsidRDefault="00AD3320" w:rsidP="008245F4">
            <w:pPr>
              <w:rPr>
                <w:rFonts w:cs="Arial"/>
                <w:sz w:val="18"/>
                <w:szCs w:val="18"/>
                <w:lang w:val="en-GB"/>
              </w:rPr>
            </w:pPr>
          </w:p>
        </w:tc>
      </w:tr>
    </w:tbl>
    <w:p w14:paraId="750A2074" w14:textId="77777777" w:rsidR="00AD3320" w:rsidRPr="009B5B67" w:rsidRDefault="00AD3320" w:rsidP="00AD3320">
      <w:pPr>
        <w:rPr>
          <w:lang w:val="en-GB"/>
        </w:rPr>
      </w:pPr>
    </w:p>
    <w:p w14:paraId="208BF8AE" w14:textId="77777777" w:rsidR="00AD3320" w:rsidRPr="009B5B67" w:rsidRDefault="00AD3320" w:rsidP="00AD3320">
      <w:pPr>
        <w:rPr>
          <w:lang w:val="en-GB" w:eastAsia="sr-Latn-RS"/>
        </w:rPr>
      </w:pPr>
    </w:p>
    <w:p w14:paraId="34CFEC79" w14:textId="77777777" w:rsidR="00AD3320" w:rsidRPr="009B5B67" w:rsidRDefault="00AD3320" w:rsidP="00AD3320">
      <w:pPr>
        <w:pStyle w:val="Heading1"/>
        <w:keepNext w:val="0"/>
        <w:keepLines w:val="0"/>
        <w:widowControl w:val="0"/>
        <w:numPr>
          <w:ilvl w:val="0"/>
          <w:numId w:val="0"/>
        </w:numPr>
        <w:autoSpaceDE w:val="0"/>
        <w:autoSpaceDN w:val="0"/>
        <w:spacing w:before="0" w:after="0"/>
        <w:ind w:left="432" w:hanging="432"/>
        <w:jc w:val="left"/>
        <w:rPr>
          <w:lang w:val="en-GB" w:eastAsia="sr-Latn-RS"/>
        </w:rPr>
      </w:pPr>
    </w:p>
    <w:p w14:paraId="27AFBFD1" w14:textId="77777777" w:rsidR="00AD3320" w:rsidRPr="009B5B67" w:rsidRDefault="00AD3320" w:rsidP="00AD3320">
      <w:pPr>
        <w:rPr>
          <w:lang w:val="en-GB" w:eastAsia="sr-Latn-RS"/>
        </w:rPr>
        <w:sectPr w:rsidR="00AD3320" w:rsidRPr="009B5B67" w:rsidSect="00CA3A01">
          <w:pgSz w:w="16840" w:h="11910" w:orient="landscape"/>
          <w:pgMar w:top="998" w:right="1418" w:bottom="981" w:left="1418" w:header="890" w:footer="561" w:gutter="0"/>
          <w:cols w:space="720"/>
          <w:docGrid w:linePitch="299"/>
        </w:sectPr>
      </w:pPr>
    </w:p>
    <w:p w14:paraId="1C5E70F2" w14:textId="77777777" w:rsidR="00503AE8" w:rsidRPr="009B5B67" w:rsidRDefault="00AD3320" w:rsidP="00503AE8">
      <w:pPr>
        <w:rPr>
          <w:lang w:val="en-GB"/>
        </w:rPr>
      </w:pPr>
      <w:r w:rsidRPr="009B5B67">
        <w:rPr>
          <w:lang w:val="en-GB"/>
        </w:rPr>
        <w:lastRenderedPageBreak/>
        <w:t>List of abbreviations</w:t>
      </w:r>
    </w:p>
    <w:p w14:paraId="6E1FBA58" w14:textId="77777777" w:rsidR="00AD3320" w:rsidRPr="009B5B67" w:rsidRDefault="00AD3320" w:rsidP="00503AE8">
      <w:pPr>
        <w:rPr>
          <w:lang w:val="en-GB"/>
        </w:rPr>
      </w:pPr>
    </w:p>
    <w:tbl>
      <w:tblPr>
        <w:tblStyle w:val="PlainTable1"/>
        <w:tblW w:w="0" w:type="auto"/>
        <w:tblLook w:val="04A0" w:firstRow="1" w:lastRow="0" w:firstColumn="1" w:lastColumn="0" w:noHBand="0" w:noVBand="1"/>
      </w:tblPr>
      <w:tblGrid>
        <w:gridCol w:w="1980"/>
        <w:gridCol w:w="7074"/>
      </w:tblGrid>
      <w:tr w:rsidR="00AD3320" w:rsidRPr="009B5B67" w14:paraId="216BC3BA" w14:textId="77777777" w:rsidTr="00AD332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23CB848" w14:textId="77777777" w:rsidR="00AD3320" w:rsidRPr="009B5B67" w:rsidRDefault="00AD3320" w:rsidP="00AD3320">
            <w:pPr>
              <w:rPr>
                <w:color w:val="000000" w:themeColor="text1"/>
                <w:lang w:val="en-GB" w:eastAsia="de-DE"/>
              </w:rPr>
            </w:pPr>
            <w:r w:rsidRPr="009B5B67">
              <w:rPr>
                <w:color w:val="000000" w:themeColor="text1"/>
                <w:lang w:val="en-GB" w:eastAsia="de-DE"/>
              </w:rPr>
              <w:t>AR</w:t>
            </w:r>
          </w:p>
        </w:tc>
        <w:tc>
          <w:tcPr>
            <w:tcW w:w="7074" w:type="dxa"/>
            <w:noWrap/>
          </w:tcPr>
          <w:p w14:paraId="7E7674CC" w14:textId="77777777" w:rsidR="00AD3320" w:rsidRPr="009B5B67" w:rsidRDefault="00AD3320" w:rsidP="00AD3320">
            <w:pPr>
              <w:cnfStyle w:val="100000000000" w:firstRow="1"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IPCC Assessment Report</w:t>
            </w:r>
          </w:p>
        </w:tc>
      </w:tr>
      <w:tr w:rsidR="00AD3320" w:rsidRPr="009B5B67" w14:paraId="528F333D"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3E4075BC" w14:textId="77777777" w:rsidR="00AD3320" w:rsidRPr="009B5B67" w:rsidRDefault="00AD3320" w:rsidP="00AD3320">
            <w:pPr>
              <w:rPr>
                <w:color w:val="000000" w:themeColor="text1"/>
                <w:lang w:val="en-GB" w:eastAsia="de-DE"/>
              </w:rPr>
            </w:pPr>
            <w:r w:rsidRPr="009B5B67">
              <w:rPr>
                <w:rFonts w:cs="Arial"/>
                <w:bCs w:val="0"/>
                <w:color w:val="000000" w:themeColor="text1"/>
                <w:szCs w:val="20"/>
                <w:lang w:val="en-GB"/>
              </w:rPr>
              <w:t>BAT</w:t>
            </w:r>
          </w:p>
        </w:tc>
        <w:tc>
          <w:tcPr>
            <w:tcW w:w="7074" w:type="dxa"/>
            <w:noWrap/>
          </w:tcPr>
          <w:p w14:paraId="49F18BDB"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Arial"/>
                <w:bCs/>
                <w:color w:val="000000" w:themeColor="text1"/>
                <w:szCs w:val="20"/>
                <w:lang w:val="en-GB"/>
              </w:rPr>
              <w:t xml:space="preserve">Best Available Technology </w:t>
            </w:r>
          </w:p>
        </w:tc>
      </w:tr>
      <w:tr w:rsidR="00AD3320" w:rsidRPr="009B5B67" w14:paraId="0B57B786"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AAD8D77" w14:textId="77777777" w:rsidR="00AD3320" w:rsidRPr="009B5B67" w:rsidRDefault="00AD3320" w:rsidP="00AD3320">
            <w:pPr>
              <w:rPr>
                <w:color w:val="000000" w:themeColor="text1"/>
                <w:lang w:val="en-GB" w:eastAsia="de-DE"/>
              </w:rPr>
            </w:pPr>
            <w:r w:rsidRPr="009B5B67">
              <w:rPr>
                <w:color w:val="000000" w:themeColor="text1"/>
                <w:lang w:val="en-GB" w:eastAsia="de-DE"/>
              </w:rPr>
              <w:t>BUR</w:t>
            </w:r>
          </w:p>
        </w:tc>
        <w:tc>
          <w:tcPr>
            <w:tcW w:w="7074" w:type="dxa"/>
            <w:noWrap/>
            <w:hideMark/>
          </w:tcPr>
          <w:p w14:paraId="4F18F40F"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b/>
                <w:color w:val="000000" w:themeColor="text1"/>
                <w:lang w:val="en-GB" w:eastAsia="de-DE"/>
              </w:rPr>
            </w:pPr>
            <w:r w:rsidRPr="009B5B67">
              <w:rPr>
                <w:color w:val="000000" w:themeColor="text1"/>
                <w:lang w:val="en-GB" w:eastAsia="de-DE"/>
              </w:rPr>
              <w:t>Biennial Update Report</w:t>
            </w:r>
          </w:p>
        </w:tc>
      </w:tr>
      <w:tr w:rsidR="00AD3320" w:rsidRPr="009B5B67" w14:paraId="18CF9E6F"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F283B83" w14:textId="77777777" w:rsidR="00AD3320" w:rsidRPr="009B5B67" w:rsidRDefault="00AD3320" w:rsidP="00AD3320">
            <w:pPr>
              <w:rPr>
                <w:color w:val="000000" w:themeColor="text1"/>
                <w:lang w:val="en-GB" w:eastAsia="de-DE"/>
              </w:rPr>
            </w:pPr>
            <w:r w:rsidRPr="009B5B67">
              <w:rPr>
                <w:color w:val="000000" w:themeColor="text1"/>
                <w:lang w:val="en-GB" w:eastAsia="de-DE"/>
              </w:rPr>
              <w:t>BTR</w:t>
            </w:r>
          </w:p>
        </w:tc>
        <w:tc>
          <w:tcPr>
            <w:tcW w:w="7074" w:type="dxa"/>
            <w:noWrap/>
            <w:hideMark/>
          </w:tcPr>
          <w:p w14:paraId="057FF466"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Biennial Transparency Report</w:t>
            </w:r>
          </w:p>
        </w:tc>
      </w:tr>
      <w:tr w:rsidR="00AD3320" w:rsidRPr="000324FE" w14:paraId="5B64D8A7"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6FFDD6B2" w14:textId="77777777" w:rsidR="00AD3320" w:rsidRPr="009B5B67" w:rsidRDefault="00AD3320" w:rsidP="00AD3320">
            <w:pPr>
              <w:rPr>
                <w:color w:val="000000" w:themeColor="text1"/>
                <w:lang w:val="en-GB" w:eastAsia="de-DE"/>
              </w:rPr>
            </w:pPr>
            <w:r w:rsidRPr="009B5B67">
              <w:rPr>
                <w:color w:val="000000" w:themeColor="text1"/>
                <w:lang w:val="en-GB"/>
              </w:rPr>
              <w:t>CMA</w:t>
            </w:r>
          </w:p>
        </w:tc>
        <w:tc>
          <w:tcPr>
            <w:tcW w:w="7074" w:type="dxa"/>
            <w:noWrap/>
          </w:tcPr>
          <w:p w14:paraId="78226AB7"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Conference of the Parties serving as the meeting of the Parties to the Paris Agreement</w:t>
            </w:r>
          </w:p>
        </w:tc>
      </w:tr>
      <w:tr w:rsidR="00AD3320" w:rsidRPr="009B5B67" w14:paraId="0C7DEB4D"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6D86758" w14:textId="77777777" w:rsidR="00AD3320" w:rsidRPr="009B5B67" w:rsidRDefault="00AD3320" w:rsidP="00AD3320">
            <w:pPr>
              <w:rPr>
                <w:color w:val="000000" w:themeColor="text1"/>
                <w:lang w:val="en-GB" w:eastAsia="de-DE"/>
              </w:rPr>
            </w:pPr>
            <w:r w:rsidRPr="009B5B67">
              <w:rPr>
                <w:color w:val="000000" w:themeColor="text1"/>
                <w:lang w:val="en-GB" w:eastAsia="de-DE"/>
              </w:rPr>
              <w:t>DRR</w:t>
            </w:r>
          </w:p>
        </w:tc>
        <w:tc>
          <w:tcPr>
            <w:tcW w:w="7074" w:type="dxa"/>
            <w:noWrap/>
            <w:hideMark/>
          </w:tcPr>
          <w:p w14:paraId="77016B4A"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Disaster Risk Reduction</w:t>
            </w:r>
          </w:p>
        </w:tc>
      </w:tr>
      <w:tr w:rsidR="00AD3320" w:rsidRPr="009B5B67" w14:paraId="6C5F86B8"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5B88E5C"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EC</w:t>
            </w:r>
          </w:p>
        </w:tc>
        <w:tc>
          <w:tcPr>
            <w:tcW w:w="7074" w:type="dxa"/>
            <w:noWrap/>
          </w:tcPr>
          <w:p w14:paraId="243A51C4"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European Commission</w:t>
            </w:r>
          </w:p>
        </w:tc>
      </w:tr>
      <w:tr w:rsidR="00AD3320" w:rsidRPr="009B5B67" w14:paraId="2A3A1D0F"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7C03BBA" w14:textId="77777777" w:rsidR="00AD3320" w:rsidRPr="009B5B67" w:rsidRDefault="00AD3320" w:rsidP="00AD3320">
            <w:pPr>
              <w:rPr>
                <w:color w:val="000000" w:themeColor="text1"/>
                <w:lang w:val="en-GB" w:eastAsia="de-DE"/>
              </w:rPr>
            </w:pPr>
            <w:r w:rsidRPr="009B5B67">
              <w:rPr>
                <w:color w:val="000000" w:themeColor="text1"/>
                <w:lang w:val="en-GB" w:eastAsia="de-DE"/>
              </w:rPr>
              <w:t>ETS</w:t>
            </w:r>
          </w:p>
        </w:tc>
        <w:tc>
          <w:tcPr>
            <w:tcW w:w="7074" w:type="dxa"/>
            <w:noWrap/>
            <w:hideMark/>
          </w:tcPr>
          <w:p w14:paraId="14C02437"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Emissions Trading System</w:t>
            </w:r>
          </w:p>
        </w:tc>
      </w:tr>
      <w:tr w:rsidR="00AD3320" w:rsidRPr="009B5B67" w14:paraId="07E86EC3"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279A271" w14:textId="77777777" w:rsidR="00AD3320" w:rsidRPr="009B5B67" w:rsidRDefault="00AD3320" w:rsidP="00AD3320">
            <w:pPr>
              <w:rPr>
                <w:color w:val="000000" w:themeColor="text1"/>
                <w:lang w:val="en-GB" w:eastAsia="de-DE"/>
              </w:rPr>
            </w:pPr>
            <w:r w:rsidRPr="009B5B67">
              <w:rPr>
                <w:color w:val="000000" w:themeColor="text1"/>
                <w:lang w:val="en-GB" w:eastAsia="de-DE"/>
              </w:rPr>
              <w:t>EU</w:t>
            </w:r>
          </w:p>
        </w:tc>
        <w:tc>
          <w:tcPr>
            <w:tcW w:w="7074" w:type="dxa"/>
            <w:noWrap/>
            <w:hideMark/>
          </w:tcPr>
          <w:p w14:paraId="5F59824B"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European Union</w:t>
            </w:r>
          </w:p>
        </w:tc>
      </w:tr>
      <w:tr w:rsidR="00AD3320" w:rsidRPr="009B5B67" w14:paraId="743E1166"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AEDD773" w14:textId="77777777" w:rsidR="00AD3320" w:rsidRPr="009B5B67" w:rsidRDefault="00AD3320" w:rsidP="00AD3320">
            <w:pPr>
              <w:rPr>
                <w:color w:val="000000" w:themeColor="text1"/>
                <w:lang w:val="en-GB" w:eastAsia="de-DE"/>
              </w:rPr>
            </w:pPr>
            <w:r w:rsidRPr="009B5B67">
              <w:rPr>
                <w:color w:val="000000" w:themeColor="text1"/>
                <w:lang w:val="en-GB" w:eastAsia="de-DE"/>
              </w:rPr>
              <w:t>EUR</w:t>
            </w:r>
          </w:p>
        </w:tc>
        <w:tc>
          <w:tcPr>
            <w:tcW w:w="7074" w:type="dxa"/>
            <w:noWrap/>
          </w:tcPr>
          <w:p w14:paraId="116F41DA"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Euro</w:t>
            </w:r>
          </w:p>
        </w:tc>
      </w:tr>
      <w:tr w:rsidR="00AD3320" w:rsidRPr="009B5B67" w14:paraId="433860C3"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0C2E61A8" w14:textId="77777777" w:rsidR="00AD3320" w:rsidRPr="009B5B67" w:rsidRDefault="00AD3320" w:rsidP="00AD3320">
            <w:pPr>
              <w:rPr>
                <w:color w:val="000000" w:themeColor="text1"/>
                <w:lang w:val="en-GB" w:eastAsia="de-DE"/>
              </w:rPr>
            </w:pPr>
            <w:r w:rsidRPr="009B5B67">
              <w:rPr>
                <w:color w:val="000000" w:themeColor="text1"/>
                <w:lang w:val="en-GB" w:eastAsia="de-DE"/>
              </w:rPr>
              <w:t>GDP</w:t>
            </w:r>
          </w:p>
        </w:tc>
        <w:tc>
          <w:tcPr>
            <w:tcW w:w="7074" w:type="dxa"/>
            <w:noWrap/>
          </w:tcPr>
          <w:p w14:paraId="6A651736"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Gross Domestic Product</w:t>
            </w:r>
          </w:p>
        </w:tc>
      </w:tr>
      <w:tr w:rsidR="00AD3320" w:rsidRPr="009B5B67" w14:paraId="203A08D6"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4E4F320" w14:textId="77777777" w:rsidR="00AD3320" w:rsidRPr="009B5B67" w:rsidRDefault="00AD3320" w:rsidP="00AD3320">
            <w:pPr>
              <w:rPr>
                <w:color w:val="000000" w:themeColor="text1"/>
                <w:lang w:val="en-GB" w:eastAsia="de-DE"/>
              </w:rPr>
            </w:pPr>
            <w:r w:rsidRPr="009B5B67">
              <w:rPr>
                <w:color w:val="000000" w:themeColor="text1"/>
                <w:lang w:val="en-GB" w:eastAsia="de-DE"/>
              </w:rPr>
              <w:t>GHG</w:t>
            </w:r>
          </w:p>
        </w:tc>
        <w:tc>
          <w:tcPr>
            <w:tcW w:w="7074" w:type="dxa"/>
            <w:noWrap/>
            <w:hideMark/>
          </w:tcPr>
          <w:p w14:paraId="3E500E1B"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Greenhouse Gas</w:t>
            </w:r>
          </w:p>
        </w:tc>
      </w:tr>
      <w:tr w:rsidR="00AD3320" w:rsidRPr="009B5B67" w14:paraId="3A31F99B"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6D71CA36"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GWP</w:t>
            </w:r>
          </w:p>
        </w:tc>
        <w:tc>
          <w:tcPr>
            <w:tcW w:w="7074" w:type="dxa"/>
            <w:noWrap/>
          </w:tcPr>
          <w:p w14:paraId="41677CF7"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Global Warming Potentials</w:t>
            </w:r>
          </w:p>
        </w:tc>
      </w:tr>
      <w:tr w:rsidR="00AD3320" w:rsidRPr="000324FE" w14:paraId="14C1E6D9"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2A417C09" w14:textId="77777777" w:rsidR="00AD3320" w:rsidRPr="009B5B67" w:rsidRDefault="00AD3320" w:rsidP="00AD3320">
            <w:pPr>
              <w:rPr>
                <w:color w:val="000000" w:themeColor="text1"/>
                <w:lang w:val="en-GB" w:eastAsia="de-DE"/>
              </w:rPr>
            </w:pPr>
            <w:r w:rsidRPr="009B5B67">
              <w:rPr>
                <w:color w:val="000000" w:themeColor="text1"/>
                <w:lang w:val="en-GB" w:eastAsia="de-DE"/>
              </w:rPr>
              <w:t>ICTU</w:t>
            </w:r>
          </w:p>
        </w:tc>
        <w:tc>
          <w:tcPr>
            <w:tcW w:w="7074" w:type="dxa"/>
            <w:noWrap/>
          </w:tcPr>
          <w:p w14:paraId="2D403F1C"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 xml:space="preserve">Information for clarity, transparency and understanding </w:t>
            </w:r>
          </w:p>
        </w:tc>
      </w:tr>
      <w:tr w:rsidR="00AD3320" w:rsidRPr="009B5B67" w14:paraId="7CAC188E"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6DC1C5DB" w14:textId="77777777" w:rsidR="00AD3320" w:rsidRPr="009B5B67" w:rsidRDefault="00AD3320" w:rsidP="00AD3320">
            <w:pPr>
              <w:rPr>
                <w:color w:val="000000" w:themeColor="text1"/>
                <w:lang w:val="en-GB" w:eastAsia="de-DE"/>
              </w:rPr>
            </w:pPr>
            <w:r w:rsidRPr="009B5B67">
              <w:rPr>
                <w:color w:val="000000" w:themeColor="text1"/>
                <w:lang w:val="en-GB"/>
              </w:rPr>
              <w:t>INDC</w:t>
            </w:r>
          </w:p>
        </w:tc>
        <w:tc>
          <w:tcPr>
            <w:tcW w:w="7074" w:type="dxa"/>
            <w:noWrap/>
          </w:tcPr>
          <w:p w14:paraId="3DD05726"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Internationally Nationally Determined Contribution</w:t>
            </w:r>
          </w:p>
        </w:tc>
      </w:tr>
      <w:tr w:rsidR="00AD3320" w:rsidRPr="000324FE" w14:paraId="6DB4BE84"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136F1ED" w14:textId="77777777" w:rsidR="00AD3320" w:rsidRPr="009B5B67" w:rsidRDefault="00AD3320" w:rsidP="00AD3320">
            <w:pPr>
              <w:rPr>
                <w:color w:val="000000" w:themeColor="text1"/>
                <w:lang w:val="en-GB" w:eastAsia="de-DE"/>
              </w:rPr>
            </w:pPr>
            <w:r w:rsidRPr="009B5B67">
              <w:rPr>
                <w:color w:val="000000" w:themeColor="text1"/>
                <w:lang w:val="en-GB" w:eastAsia="de-DE"/>
              </w:rPr>
              <w:t>IPA</w:t>
            </w:r>
          </w:p>
        </w:tc>
        <w:tc>
          <w:tcPr>
            <w:tcW w:w="7074" w:type="dxa"/>
            <w:noWrap/>
            <w:hideMark/>
          </w:tcPr>
          <w:p w14:paraId="63EBF221"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Instrument for Pre-accession Assistance</w:t>
            </w:r>
          </w:p>
        </w:tc>
      </w:tr>
      <w:tr w:rsidR="00AD3320" w:rsidRPr="000324FE" w14:paraId="75188000"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9FDC8AF" w14:textId="77777777" w:rsidR="00AD3320" w:rsidRPr="009B5B67" w:rsidRDefault="00AD3320" w:rsidP="00AD3320">
            <w:pPr>
              <w:rPr>
                <w:color w:val="000000" w:themeColor="text1"/>
                <w:lang w:val="en-GB" w:eastAsia="de-DE"/>
              </w:rPr>
            </w:pPr>
            <w:r w:rsidRPr="009B5B67">
              <w:rPr>
                <w:color w:val="000000" w:themeColor="text1"/>
                <w:lang w:val="en-GB" w:eastAsia="de-DE"/>
              </w:rPr>
              <w:t>IPCC</w:t>
            </w:r>
          </w:p>
        </w:tc>
        <w:tc>
          <w:tcPr>
            <w:tcW w:w="7074" w:type="dxa"/>
            <w:noWrap/>
            <w:hideMark/>
          </w:tcPr>
          <w:p w14:paraId="2808CFCC"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Intergovernmental Panel on Climate Change</w:t>
            </w:r>
          </w:p>
        </w:tc>
      </w:tr>
      <w:tr w:rsidR="00AD3320" w:rsidRPr="000324FE" w14:paraId="7004AA79"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47F3775C"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IPPU</w:t>
            </w:r>
          </w:p>
        </w:tc>
        <w:tc>
          <w:tcPr>
            <w:tcW w:w="7074" w:type="dxa"/>
            <w:noWrap/>
          </w:tcPr>
          <w:p w14:paraId="6236EBE5"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Industrial processes and product use </w:t>
            </w:r>
          </w:p>
        </w:tc>
      </w:tr>
      <w:tr w:rsidR="00AD3320" w:rsidRPr="009B5B67" w14:paraId="4AC8B580"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E0CCE94" w14:textId="77777777" w:rsidR="00AD3320" w:rsidRPr="009B5B67" w:rsidRDefault="00AD3320" w:rsidP="00AD3320">
            <w:pPr>
              <w:rPr>
                <w:color w:val="000000" w:themeColor="text1"/>
                <w:lang w:val="en-GB" w:eastAsia="de-DE"/>
              </w:rPr>
            </w:pPr>
            <w:r w:rsidRPr="009B5B67">
              <w:rPr>
                <w:color w:val="000000" w:themeColor="text1"/>
                <w:lang w:val="en-GB" w:eastAsia="de-DE"/>
              </w:rPr>
              <w:t>L&amp;D</w:t>
            </w:r>
          </w:p>
        </w:tc>
        <w:tc>
          <w:tcPr>
            <w:tcW w:w="7074" w:type="dxa"/>
            <w:noWrap/>
            <w:hideMark/>
          </w:tcPr>
          <w:p w14:paraId="4C5DEFE3"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 xml:space="preserve">Loss and Damages </w:t>
            </w:r>
          </w:p>
        </w:tc>
      </w:tr>
      <w:tr w:rsidR="00AD3320" w:rsidRPr="009B5B67" w14:paraId="1A992D7B"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10E7C7C5" w14:textId="77777777" w:rsidR="00AD3320" w:rsidRPr="000324FE" w:rsidRDefault="00AD3320" w:rsidP="00AD3320">
            <w:pPr>
              <w:rPr>
                <w:rFonts w:cstheme="minorHAnsi"/>
                <w:color w:val="000000" w:themeColor="text1"/>
                <w:szCs w:val="20"/>
                <w:lang w:val="en-GB"/>
              </w:rPr>
            </w:pPr>
            <w:r w:rsidRPr="000324FE">
              <w:rPr>
                <w:rFonts w:cstheme="minorHAnsi"/>
                <w:color w:val="000000" w:themeColor="text1"/>
                <w:szCs w:val="20"/>
                <w:lang w:val="en-GB"/>
              </w:rPr>
              <w:t>LCC</w:t>
            </w:r>
          </w:p>
        </w:tc>
        <w:tc>
          <w:tcPr>
            <w:tcW w:w="7074" w:type="dxa"/>
            <w:noWrap/>
          </w:tcPr>
          <w:p w14:paraId="26E782FF" w14:textId="77777777" w:rsidR="00AD3320" w:rsidRPr="000324FE" w:rsidRDefault="00AD3320" w:rsidP="00AD33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lang w:val="en-GB"/>
              </w:rPr>
            </w:pPr>
            <w:r w:rsidRPr="000324FE">
              <w:rPr>
                <w:rFonts w:cstheme="minorHAnsi"/>
                <w:color w:val="000000" w:themeColor="text1"/>
                <w:szCs w:val="20"/>
                <w:lang w:val="en-GB"/>
              </w:rPr>
              <w:t>Law on Climate Change</w:t>
            </w:r>
          </w:p>
        </w:tc>
      </w:tr>
      <w:tr w:rsidR="00AD3320" w:rsidRPr="000324FE" w14:paraId="3B8BC184"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01728E0C"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LCDS</w:t>
            </w:r>
          </w:p>
        </w:tc>
        <w:tc>
          <w:tcPr>
            <w:tcW w:w="7074" w:type="dxa"/>
            <w:noWrap/>
          </w:tcPr>
          <w:p w14:paraId="22C004FA"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Low Carbon Development Strategy </w:t>
            </w:r>
            <w:r w:rsidRPr="009B5B67">
              <w:rPr>
                <w:rFonts w:cstheme="minorHAnsi"/>
                <w:strike/>
                <w:color w:val="000000" w:themeColor="text1"/>
                <w:szCs w:val="20"/>
                <w:lang w:val="en-GB"/>
              </w:rPr>
              <w:t>with Action plan</w:t>
            </w:r>
          </w:p>
        </w:tc>
      </w:tr>
      <w:tr w:rsidR="00AD3320" w:rsidRPr="000324FE" w14:paraId="498900D1"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B8BA9FF" w14:textId="77777777" w:rsidR="00AD3320" w:rsidRPr="009B5B67" w:rsidRDefault="00AD3320" w:rsidP="00AD3320">
            <w:pPr>
              <w:rPr>
                <w:color w:val="000000" w:themeColor="text1"/>
                <w:lang w:val="en-GB" w:eastAsia="de-DE"/>
              </w:rPr>
            </w:pPr>
            <w:r w:rsidRPr="009B5B67">
              <w:rPr>
                <w:color w:val="000000" w:themeColor="text1"/>
                <w:lang w:val="en-GB" w:eastAsia="de-DE"/>
              </w:rPr>
              <w:t>LULUCF</w:t>
            </w:r>
          </w:p>
        </w:tc>
        <w:tc>
          <w:tcPr>
            <w:tcW w:w="7074" w:type="dxa"/>
            <w:noWrap/>
            <w:hideMark/>
          </w:tcPr>
          <w:p w14:paraId="38059745"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Land Use, Land Use Change and Forestry</w:t>
            </w:r>
          </w:p>
        </w:tc>
      </w:tr>
      <w:tr w:rsidR="00AD3320" w:rsidRPr="000324FE" w14:paraId="1F415920"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7F12818" w14:textId="77777777" w:rsidR="00AD3320" w:rsidRPr="009B5B67" w:rsidRDefault="00AD3320" w:rsidP="00AD3320">
            <w:pPr>
              <w:rPr>
                <w:color w:val="000000" w:themeColor="text1"/>
                <w:lang w:val="en-GB" w:eastAsia="de-DE"/>
              </w:rPr>
            </w:pPr>
            <w:r w:rsidRPr="009B5B67">
              <w:rPr>
                <w:color w:val="000000" w:themeColor="text1"/>
                <w:lang w:val="en-GB" w:eastAsia="de-DE"/>
              </w:rPr>
              <w:t>MAFWM</w:t>
            </w:r>
          </w:p>
        </w:tc>
        <w:tc>
          <w:tcPr>
            <w:tcW w:w="7074" w:type="dxa"/>
            <w:noWrap/>
            <w:hideMark/>
          </w:tcPr>
          <w:p w14:paraId="699BF636"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 xml:space="preserve">Ministry of Agriculture, Forestry and Water Management </w:t>
            </w:r>
          </w:p>
        </w:tc>
      </w:tr>
      <w:tr w:rsidR="00AD3320" w:rsidRPr="009B5B67" w14:paraId="1B6A9B0B"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904DC7F" w14:textId="77777777" w:rsidR="00AD3320" w:rsidRPr="009B5B67" w:rsidRDefault="00AD3320" w:rsidP="00AD3320">
            <w:pPr>
              <w:rPr>
                <w:color w:val="000000" w:themeColor="text1"/>
                <w:lang w:val="en-GB" w:eastAsia="de-DE"/>
              </w:rPr>
            </w:pPr>
            <w:r w:rsidRPr="009B5B67">
              <w:rPr>
                <w:color w:val="000000" w:themeColor="text1"/>
                <w:lang w:val="en-GB" w:eastAsia="de-DE"/>
              </w:rPr>
              <w:t>MEP</w:t>
            </w:r>
          </w:p>
        </w:tc>
        <w:tc>
          <w:tcPr>
            <w:tcW w:w="7074" w:type="dxa"/>
            <w:noWrap/>
            <w:hideMark/>
          </w:tcPr>
          <w:p w14:paraId="3A8BACA2"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Ministry of Environmental Protection</w:t>
            </w:r>
          </w:p>
        </w:tc>
      </w:tr>
      <w:tr w:rsidR="00AD3320" w:rsidRPr="000324FE" w14:paraId="5300AE98"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3CAC6D1" w14:textId="77777777" w:rsidR="00AD3320" w:rsidRPr="009B5B67" w:rsidRDefault="00AD3320" w:rsidP="00AD3320">
            <w:pPr>
              <w:rPr>
                <w:color w:val="000000" w:themeColor="text1"/>
                <w:lang w:val="en-GB" w:eastAsia="de-DE"/>
              </w:rPr>
            </w:pPr>
            <w:r w:rsidRPr="009B5B67">
              <w:rPr>
                <w:color w:val="000000" w:themeColor="text1"/>
                <w:lang w:val="en-GB" w:eastAsia="de-DE"/>
              </w:rPr>
              <w:t>MME</w:t>
            </w:r>
          </w:p>
        </w:tc>
        <w:tc>
          <w:tcPr>
            <w:tcW w:w="7074" w:type="dxa"/>
            <w:noWrap/>
            <w:hideMark/>
          </w:tcPr>
          <w:p w14:paraId="753A2740"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 xml:space="preserve">Ministry of Mining and Energy </w:t>
            </w:r>
          </w:p>
        </w:tc>
      </w:tr>
      <w:tr w:rsidR="00AD3320" w:rsidRPr="009B5B67" w14:paraId="354575EA"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C36F03B" w14:textId="77777777" w:rsidR="00AD3320" w:rsidRPr="009B5B67" w:rsidRDefault="00AD3320" w:rsidP="00AD3320">
            <w:pPr>
              <w:rPr>
                <w:color w:val="000000" w:themeColor="text1"/>
                <w:lang w:val="en-GB" w:eastAsia="de-DE"/>
              </w:rPr>
            </w:pPr>
            <w:r w:rsidRPr="009B5B67">
              <w:rPr>
                <w:color w:val="000000" w:themeColor="text1"/>
                <w:lang w:val="en-GB" w:eastAsia="de-DE"/>
              </w:rPr>
              <w:t>MMR</w:t>
            </w:r>
          </w:p>
        </w:tc>
        <w:tc>
          <w:tcPr>
            <w:tcW w:w="7074" w:type="dxa"/>
            <w:noWrap/>
            <w:hideMark/>
          </w:tcPr>
          <w:p w14:paraId="42AB00AB"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Monitoring Mechanism Regulation</w:t>
            </w:r>
          </w:p>
        </w:tc>
      </w:tr>
      <w:tr w:rsidR="00AD3320" w:rsidRPr="009B5B67" w14:paraId="0379E276"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4C96B06" w14:textId="77777777" w:rsidR="00AD3320" w:rsidRPr="009B5B67" w:rsidRDefault="00AD3320" w:rsidP="00AD3320">
            <w:pPr>
              <w:rPr>
                <w:color w:val="000000" w:themeColor="text1"/>
                <w:lang w:val="en-GB" w:eastAsia="de-DE"/>
              </w:rPr>
            </w:pPr>
            <w:r w:rsidRPr="009B5B67">
              <w:rPr>
                <w:color w:val="000000" w:themeColor="text1"/>
                <w:lang w:val="en-GB" w:eastAsia="de-DE"/>
              </w:rPr>
              <w:t>MRV</w:t>
            </w:r>
          </w:p>
        </w:tc>
        <w:tc>
          <w:tcPr>
            <w:tcW w:w="7074" w:type="dxa"/>
            <w:noWrap/>
            <w:hideMark/>
          </w:tcPr>
          <w:p w14:paraId="7E1B96EC"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Monitoring, Reporting and Verification</w:t>
            </w:r>
          </w:p>
        </w:tc>
      </w:tr>
      <w:tr w:rsidR="00AD3320" w:rsidRPr="009B5B67" w14:paraId="1DAE1CDD"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5F16CC1" w14:textId="77777777" w:rsidR="00AD3320" w:rsidRPr="009B5B67" w:rsidRDefault="00AD3320" w:rsidP="00AD3320">
            <w:pPr>
              <w:rPr>
                <w:color w:val="000000" w:themeColor="text1"/>
                <w:lang w:val="en-GB" w:eastAsia="de-DE"/>
              </w:rPr>
            </w:pPr>
            <w:r w:rsidRPr="009B5B67">
              <w:rPr>
                <w:color w:val="000000" w:themeColor="text1"/>
                <w:lang w:val="en-GB" w:eastAsia="de-DE"/>
              </w:rPr>
              <w:t>NAP</w:t>
            </w:r>
          </w:p>
        </w:tc>
        <w:tc>
          <w:tcPr>
            <w:tcW w:w="7074" w:type="dxa"/>
            <w:noWrap/>
          </w:tcPr>
          <w:p w14:paraId="49E6288A"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National Adaptation Plan</w:t>
            </w:r>
          </w:p>
        </w:tc>
      </w:tr>
      <w:tr w:rsidR="00AD3320" w:rsidRPr="009B5B67" w14:paraId="748EF656"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3B95FEE3" w14:textId="77777777" w:rsidR="00AD3320" w:rsidRPr="009B5B67" w:rsidRDefault="00AD3320" w:rsidP="00AD3320">
            <w:pPr>
              <w:rPr>
                <w:color w:val="000000" w:themeColor="text1"/>
                <w:lang w:val="en-GB" w:eastAsia="de-DE"/>
              </w:rPr>
            </w:pPr>
            <w:r w:rsidRPr="009B5B67">
              <w:rPr>
                <w:color w:val="000000" w:themeColor="text1"/>
                <w:lang w:val="en-GB" w:eastAsia="de-DE"/>
              </w:rPr>
              <w:t>NDC</w:t>
            </w:r>
          </w:p>
        </w:tc>
        <w:tc>
          <w:tcPr>
            <w:tcW w:w="7074" w:type="dxa"/>
            <w:noWrap/>
          </w:tcPr>
          <w:p w14:paraId="04601193"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Nationally Determined Contribution</w:t>
            </w:r>
          </w:p>
        </w:tc>
      </w:tr>
      <w:tr w:rsidR="00AD3320" w:rsidRPr="000324FE" w14:paraId="691DE1FF"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B8D3B74" w14:textId="77777777" w:rsidR="00AD3320" w:rsidRPr="009B5B67" w:rsidRDefault="00AD3320" w:rsidP="00AD3320">
            <w:pPr>
              <w:rPr>
                <w:color w:val="000000" w:themeColor="text1"/>
                <w:lang w:val="en-GB" w:eastAsia="de-DE"/>
              </w:rPr>
            </w:pPr>
            <w:r w:rsidRPr="009B5B67">
              <w:rPr>
                <w:color w:val="000000" w:themeColor="text1"/>
                <w:lang w:val="en-GB" w:eastAsia="de-DE"/>
              </w:rPr>
              <w:t>NECP</w:t>
            </w:r>
          </w:p>
        </w:tc>
        <w:tc>
          <w:tcPr>
            <w:tcW w:w="7074" w:type="dxa"/>
            <w:noWrap/>
            <w:hideMark/>
          </w:tcPr>
          <w:p w14:paraId="642E8E81"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 xml:space="preserve">National Energy and Climate Plan </w:t>
            </w:r>
          </w:p>
        </w:tc>
      </w:tr>
      <w:tr w:rsidR="00AD3320" w:rsidRPr="009B5B67" w14:paraId="3F593266"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A73EC7F" w14:textId="77777777" w:rsidR="00AD3320" w:rsidRPr="009B5B67" w:rsidRDefault="00AD3320" w:rsidP="00AD3320">
            <w:pPr>
              <w:rPr>
                <w:color w:val="000000" w:themeColor="text1"/>
                <w:lang w:val="en-GB" w:eastAsia="de-DE"/>
              </w:rPr>
            </w:pPr>
            <w:r w:rsidRPr="009B5B67">
              <w:rPr>
                <w:color w:val="000000" w:themeColor="text1"/>
                <w:lang w:val="en-GB" w:eastAsia="de-DE"/>
              </w:rPr>
              <w:t>NC</w:t>
            </w:r>
          </w:p>
        </w:tc>
        <w:tc>
          <w:tcPr>
            <w:tcW w:w="7074" w:type="dxa"/>
            <w:noWrap/>
            <w:hideMark/>
          </w:tcPr>
          <w:p w14:paraId="0C449D74"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National Communication</w:t>
            </w:r>
          </w:p>
        </w:tc>
      </w:tr>
      <w:tr w:rsidR="00AD3320" w:rsidRPr="009B5B67" w14:paraId="3DC2FA38"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BEF42ED"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NGO</w:t>
            </w:r>
          </w:p>
        </w:tc>
        <w:tc>
          <w:tcPr>
            <w:tcW w:w="7074" w:type="dxa"/>
            <w:noWrap/>
          </w:tcPr>
          <w:p w14:paraId="04E77011"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rPr>
              <w:t>Non-Governmental Organizations</w:t>
            </w:r>
          </w:p>
        </w:tc>
      </w:tr>
      <w:tr w:rsidR="00AD3320" w:rsidRPr="009B5B67" w14:paraId="01E38E9B"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C05F91A" w14:textId="77777777" w:rsidR="00AD3320" w:rsidRPr="009B5B67" w:rsidRDefault="00AD3320" w:rsidP="00AD3320">
            <w:pPr>
              <w:rPr>
                <w:color w:val="000000" w:themeColor="text1"/>
                <w:lang w:val="en-GB" w:eastAsia="de-DE"/>
              </w:rPr>
            </w:pPr>
            <w:r w:rsidRPr="009B5B67">
              <w:rPr>
                <w:color w:val="000000" w:themeColor="text1"/>
                <w:lang w:val="en-GB" w:eastAsia="de-DE"/>
              </w:rPr>
              <w:lastRenderedPageBreak/>
              <w:t>PA</w:t>
            </w:r>
          </w:p>
        </w:tc>
        <w:tc>
          <w:tcPr>
            <w:tcW w:w="7074" w:type="dxa"/>
            <w:noWrap/>
            <w:hideMark/>
          </w:tcPr>
          <w:p w14:paraId="0C325495"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 xml:space="preserve">Paris Agreement </w:t>
            </w:r>
          </w:p>
        </w:tc>
      </w:tr>
      <w:tr w:rsidR="00AD3320" w:rsidRPr="009B5B67" w14:paraId="7D5DACBD"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1E285CF" w14:textId="77777777" w:rsidR="00AD3320" w:rsidRPr="009B5B67" w:rsidRDefault="00AD3320" w:rsidP="00AD3320">
            <w:pPr>
              <w:rPr>
                <w:color w:val="000000" w:themeColor="text1"/>
                <w:lang w:val="en-GB" w:eastAsia="de-DE"/>
              </w:rPr>
            </w:pPr>
            <w:r w:rsidRPr="009B5B67">
              <w:rPr>
                <w:color w:val="000000" w:themeColor="text1"/>
                <w:lang w:val="en-GB" w:eastAsia="de-DE"/>
              </w:rPr>
              <w:t>PAM</w:t>
            </w:r>
          </w:p>
        </w:tc>
        <w:tc>
          <w:tcPr>
            <w:tcW w:w="7074" w:type="dxa"/>
            <w:noWrap/>
            <w:hideMark/>
          </w:tcPr>
          <w:p w14:paraId="3A342434"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Policies and Measures</w:t>
            </w:r>
          </w:p>
        </w:tc>
      </w:tr>
      <w:tr w:rsidR="00AD3320" w:rsidRPr="009B5B67" w14:paraId="77C88E8C"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0DB8C44D" w14:textId="77777777" w:rsidR="00AD3320" w:rsidRPr="009B5B67" w:rsidRDefault="00AD3320" w:rsidP="00AD3320">
            <w:pPr>
              <w:rPr>
                <w:rFonts w:cstheme="minorHAnsi"/>
                <w:color w:val="000000" w:themeColor="text1"/>
                <w:szCs w:val="20"/>
                <w:lang w:val="en-GB"/>
              </w:rPr>
            </w:pPr>
            <w:r w:rsidRPr="009B5B67">
              <w:rPr>
                <w:rFonts w:cstheme="minorHAnsi"/>
                <w:color w:val="000000" w:themeColor="text1"/>
                <w:szCs w:val="20"/>
                <w:lang w:val="en-GB"/>
              </w:rPr>
              <w:t>RES</w:t>
            </w:r>
          </w:p>
        </w:tc>
        <w:tc>
          <w:tcPr>
            <w:tcW w:w="7074" w:type="dxa"/>
            <w:noWrap/>
          </w:tcPr>
          <w:p w14:paraId="044F7859"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0"/>
                <w:lang w:val="en-GB"/>
              </w:rPr>
            </w:pPr>
            <w:r w:rsidRPr="009B5B67">
              <w:rPr>
                <w:rFonts w:cstheme="minorHAnsi"/>
                <w:color w:val="000000" w:themeColor="text1"/>
                <w:szCs w:val="20"/>
                <w:lang w:val="en-GB"/>
              </w:rPr>
              <w:t>Renewable Energy Sources</w:t>
            </w:r>
          </w:p>
        </w:tc>
      </w:tr>
      <w:tr w:rsidR="00AD3320" w:rsidRPr="009B5B67" w14:paraId="2D857867"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6411951B" w14:textId="77777777" w:rsidR="00AD3320" w:rsidRPr="009B5B67" w:rsidRDefault="00AD3320" w:rsidP="00AD3320">
            <w:pPr>
              <w:rPr>
                <w:rFonts w:cstheme="minorHAnsi"/>
                <w:color w:val="000000" w:themeColor="text1"/>
                <w:szCs w:val="20"/>
                <w:lang w:val="en-GB"/>
              </w:rPr>
            </w:pPr>
            <w:r w:rsidRPr="009B5B67">
              <w:rPr>
                <w:rFonts w:cstheme="minorHAnsi"/>
                <w:color w:val="000000" w:themeColor="text1"/>
                <w:szCs w:val="20"/>
                <w:lang w:val="en-GB"/>
              </w:rPr>
              <w:t>RCP</w:t>
            </w:r>
          </w:p>
        </w:tc>
        <w:tc>
          <w:tcPr>
            <w:tcW w:w="7074" w:type="dxa"/>
            <w:noWrap/>
          </w:tcPr>
          <w:p w14:paraId="11921D94"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lang w:val="en-GB"/>
              </w:rPr>
            </w:pPr>
            <w:r w:rsidRPr="009B5B67">
              <w:rPr>
                <w:rFonts w:cstheme="minorHAnsi"/>
                <w:color w:val="000000" w:themeColor="text1"/>
                <w:szCs w:val="20"/>
                <w:lang w:val="en-GB"/>
              </w:rPr>
              <w:t>Representative Concentration Pathway</w:t>
            </w:r>
          </w:p>
        </w:tc>
      </w:tr>
      <w:tr w:rsidR="00AD3320" w:rsidRPr="009B5B67" w14:paraId="5D39F548"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468E5C0"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SEA</w:t>
            </w:r>
          </w:p>
        </w:tc>
        <w:tc>
          <w:tcPr>
            <w:tcW w:w="7074" w:type="dxa"/>
            <w:noWrap/>
          </w:tcPr>
          <w:p w14:paraId="7742EAE3"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Environmental Impact Assessment</w:t>
            </w:r>
          </w:p>
        </w:tc>
      </w:tr>
      <w:tr w:rsidR="00AD3320" w:rsidRPr="009B5B67" w14:paraId="7193AFC9"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383BDE0" w14:textId="77777777" w:rsidR="00AD3320" w:rsidRPr="009B5B67" w:rsidRDefault="00AD3320" w:rsidP="00AD3320">
            <w:pPr>
              <w:rPr>
                <w:color w:val="000000" w:themeColor="text1"/>
                <w:lang w:val="en-GB" w:eastAsia="de-DE"/>
              </w:rPr>
            </w:pPr>
            <w:r w:rsidRPr="009B5B67">
              <w:rPr>
                <w:color w:val="000000" w:themeColor="text1"/>
                <w:lang w:val="en-GB" w:eastAsia="de-DE"/>
              </w:rPr>
              <w:t>SEPA</w:t>
            </w:r>
          </w:p>
        </w:tc>
        <w:tc>
          <w:tcPr>
            <w:tcW w:w="7074" w:type="dxa"/>
            <w:noWrap/>
            <w:hideMark/>
          </w:tcPr>
          <w:p w14:paraId="4017F15F"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Serbian Environmental Protection Agency</w:t>
            </w:r>
          </w:p>
        </w:tc>
      </w:tr>
      <w:tr w:rsidR="00AD3320" w:rsidRPr="000324FE" w14:paraId="6457BE04"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9CBAFE6" w14:textId="77777777" w:rsidR="00AD3320" w:rsidRPr="009B5B67" w:rsidRDefault="00AD3320" w:rsidP="00AD3320">
            <w:pPr>
              <w:rPr>
                <w:color w:val="000000" w:themeColor="text1"/>
                <w:lang w:val="en-GB" w:eastAsia="de-DE"/>
              </w:rPr>
            </w:pPr>
            <w:r w:rsidRPr="009B5B67">
              <w:rPr>
                <w:color w:val="000000" w:themeColor="text1"/>
                <w:lang w:val="en-GB" w:eastAsia="de-DE"/>
              </w:rPr>
              <w:t>SORS</w:t>
            </w:r>
          </w:p>
        </w:tc>
        <w:tc>
          <w:tcPr>
            <w:tcW w:w="7074" w:type="dxa"/>
            <w:noWrap/>
            <w:hideMark/>
          </w:tcPr>
          <w:p w14:paraId="2627EA64"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Statistical Office of the Republic of Serbia</w:t>
            </w:r>
          </w:p>
        </w:tc>
      </w:tr>
      <w:tr w:rsidR="00AD3320" w:rsidRPr="000324FE" w14:paraId="1D2DB5AD"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521886E" w14:textId="77777777" w:rsidR="00AD3320" w:rsidRPr="009B5B67" w:rsidRDefault="00AD3320" w:rsidP="00AD3320">
            <w:pPr>
              <w:rPr>
                <w:color w:val="000000" w:themeColor="text1"/>
                <w:lang w:val="en-GB" w:eastAsia="de-DE"/>
              </w:rPr>
            </w:pPr>
            <w:r w:rsidRPr="009B5B67">
              <w:rPr>
                <w:color w:val="000000" w:themeColor="text1"/>
                <w:lang w:val="en-GB" w:eastAsia="de-DE"/>
              </w:rPr>
              <w:t>UNFCCC</w:t>
            </w:r>
          </w:p>
        </w:tc>
        <w:tc>
          <w:tcPr>
            <w:tcW w:w="7074" w:type="dxa"/>
            <w:noWrap/>
            <w:hideMark/>
          </w:tcPr>
          <w:p w14:paraId="427BA9CB"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 xml:space="preserve">United Nations Framework Convention on Climate Change </w:t>
            </w:r>
          </w:p>
        </w:tc>
      </w:tr>
      <w:tr w:rsidR="00AD3320" w:rsidRPr="009B5B67" w14:paraId="1F171E9E"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D9F7B05" w14:textId="77777777" w:rsidR="00AD3320" w:rsidRPr="009B5B67" w:rsidRDefault="00AD3320" w:rsidP="00AD3320">
            <w:pPr>
              <w:rPr>
                <w:color w:val="000000" w:themeColor="text1"/>
                <w:lang w:val="en-GB" w:eastAsia="de-DE"/>
              </w:rPr>
            </w:pPr>
            <w:r w:rsidRPr="009B5B67">
              <w:rPr>
                <w:color w:val="000000" w:themeColor="text1"/>
                <w:lang w:val="en-GB" w:eastAsia="de-DE"/>
              </w:rPr>
              <w:t>USD</w:t>
            </w:r>
          </w:p>
        </w:tc>
        <w:tc>
          <w:tcPr>
            <w:tcW w:w="7074" w:type="dxa"/>
            <w:noWrap/>
          </w:tcPr>
          <w:p w14:paraId="6A3F7277"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US-Dollar</w:t>
            </w:r>
          </w:p>
        </w:tc>
      </w:tr>
      <w:tr w:rsidR="00AD3320" w:rsidRPr="009B5B67" w14:paraId="731BF7F4"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4FE4FA4" w14:textId="77777777" w:rsidR="00AD3320" w:rsidRPr="009B5B67" w:rsidRDefault="00AD3320" w:rsidP="00AD3320">
            <w:pPr>
              <w:rPr>
                <w:color w:val="000000" w:themeColor="text1"/>
                <w:lang w:val="en-GB" w:eastAsia="de-DE"/>
              </w:rPr>
            </w:pPr>
            <w:r w:rsidRPr="009B5B67">
              <w:rPr>
                <w:color w:val="000000" w:themeColor="text1"/>
                <w:lang w:val="en-GB" w:eastAsia="de-DE"/>
              </w:rPr>
              <w:t>WOM</w:t>
            </w:r>
          </w:p>
        </w:tc>
        <w:tc>
          <w:tcPr>
            <w:tcW w:w="7074" w:type="dxa"/>
            <w:noWrap/>
          </w:tcPr>
          <w:p w14:paraId="3B4221EB"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Without measures</w:t>
            </w:r>
          </w:p>
        </w:tc>
      </w:tr>
      <w:tr w:rsidR="00AD3320" w:rsidRPr="009B5B67" w14:paraId="6BCF864D"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130445B4"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GHG</w:t>
            </w:r>
          </w:p>
        </w:tc>
        <w:tc>
          <w:tcPr>
            <w:tcW w:w="7074" w:type="dxa"/>
            <w:noWrap/>
          </w:tcPr>
          <w:p w14:paraId="25F2B9D2"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greenhouse gases </w:t>
            </w:r>
          </w:p>
        </w:tc>
      </w:tr>
      <w:tr w:rsidR="00AD3320" w:rsidRPr="009B5B67" w14:paraId="5ABB14E2"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13603016"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CO</w:t>
            </w:r>
            <w:r w:rsidRPr="009B5B67">
              <w:rPr>
                <w:rFonts w:cstheme="minorHAnsi"/>
                <w:color w:val="000000" w:themeColor="text1"/>
                <w:szCs w:val="20"/>
                <w:vertAlign w:val="subscript"/>
                <w:lang w:val="en-GB"/>
              </w:rPr>
              <w:t>2</w:t>
            </w:r>
          </w:p>
        </w:tc>
        <w:tc>
          <w:tcPr>
            <w:tcW w:w="7074" w:type="dxa"/>
            <w:noWrap/>
          </w:tcPr>
          <w:p w14:paraId="6C21760F"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carbon dioxide </w:t>
            </w:r>
          </w:p>
        </w:tc>
      </w:tr>
      <w:tr w:rsidR="00AD3320" w:rsidRPr="009B5B67" w14:paraId="6A5073EB"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61D109F" w14:textId="77777777" w:rsidR="00AD3320" w:rsidRPr="009B5B67" w:rsidRDefault="00AD3320" w:rsidP="00AD3320">
            <w:pPr>
              <w:rPr>
                <w:rFonts w:cstheme="minorHAnsi"/>
                <w:color w:val="000000" w:themeColor="text1"/>
                <w:szCs w:val="20"/>
                <w:lang w:val="en-GB"/>
              </w:rPr>
            </w:pPr>
            <w:r w:rsidRPr="009B5B67">
              <w:rPr>
                <w:rFonts w:cstheme="minorHAnsi"/>
                <w:color w:val="000000" w:themeColor="text1"/>
                <w:szCs w:val="20"/>
                <w:lang w:val="en-GB"/>
              </w:rPr>
              <w:t>CH</w:t>
            </w:r>
            <w:r w:rsidRPr="009B5B67">
              <w:rPr>
                <w:rFonts w:cstheme="minorHAnsi"/>
                <w:color w:val="000000" w:themeColor="text1"/>
                <w:szCs w:val="20"/>
                <w:vertAlign w:val="subscript"/>
                <w:lang w:val="en-GB"/>
              </w:rPr>
              <w:t>4</w:t>
            </w:r>
          </w:p>
        </w:tc>
        <w:tc>
          <w:tcPr>
            <w:tcW w:w="7074" w:type="dxa"/>
            <w:noWrap/>
          </w:tcPr>
          <w:p w14:paraId="34137A88"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0"/>
                <w:lang w:val="en-GB"/>
              </w:rPr>
            </w:pPr>
            <w:r w:rsidRPr="009B5B67">
              <w:rPr>
                <w:rFonts w:cstheme="minorHAnsi"/>
                <w:color w:val="000000" w:themeColor="text1"/>
                <w:szCs w:val="20"/>
                <w:lang w:val="en-GB"/>
              </w:rPr>
              <w:t>Methane</w:t>
            </w:r>
          </w:p>
        </w:tc>
      </w:tr>
      <w:tr w:rsidR="00AD3320" w:rsidRPr="009B5B67" w14:paraId="5C44514B"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2B7BE746"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N</w:t>
            </w:r>
            <w:r w:rsidRPr="009B5B67">
              <w:rPr>
                <w:rFonts w:cstheme="minorHAnsi"/>
                <w:color w:val="000000" w:themeColor="text1"/>
                <w:szCs w:val="20"/>
                <w:vertAlign w:val="subscript"/>
                <w:lang w:val="en-GB"/>
              </w:rPr>
              <w:t>2</w:t>
            </w:r>
            <w:r w:rsidRPr="009B5B67">
              <w:rPr>
                <w:rFonts w:cstheme="minorHAnsi"/>
                <w:color w:val="000000" w:themeColor="text1"/>
                <w:szCs w:val="20"/>
                <w:lang w:val="en-GB"/>
              </w:rPr>
              <w:t>O</w:t>
            </w:r>
          </w:p>
        </w:tc>
        <w:tc>
          <w:tcPr>
            <w:tcW w:w="7074" w:type="dxa"/>
            <w:noWrap/>
          </w:tcPr>
          <w:p w14:paraId="4B64274B"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nitrous oxide </w:t>
            </w:r>
          </w:p>
        </w:tc>
      </w:tr>
      <w:tr w:rsidR="00AD3320" w:rsidRPr="009B5B67" w14:paraId="14C94F32"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43EF9D69"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PFCs</w:t>
            </w:r>
          </w:p>
        </w:tc>
        <w:tc>
          <w:tcPr>
            <w:tcW w:w="7074" w:type="dxa"/>
            <w:noWrap/>
          </w:tcPr>
          <w:p w14:paraId="5A76A5F3"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perfluorocarbons </w:t>
            </w:r>
          </w:p>
        </w:tc>
      </w:tr>
      <w:tr w:rsidR="00AD3320" w:rsidRPr="009B5B67" w14:paraId="1B11BBC0"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09EFE492"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HFCs</w:t>
            </w:r>
          </w:p>
        </w:tc>
        <w:tc>
          <w:tcPr>
            <w:tcW w:w="7074" w:type="dxa"/>
            <w:noWrap/>
          </w:tcPr>
          <w:p w14:paraId="53205961"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hydrofluorocarbons </w:t>
            </w:r>
          </w:p>
        </w:tc>
      </w:tr>
      <w:tr w:rsidR="00AD3320" w:rsidRPr="009B5B67" w14:paraId="7F6CCDEC"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125C829B"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SF</w:t>
            </w:r>
            <w:r w:rsidRPr="009B5B67">
              <w:rPr>
                <w:rFonts w:cstheme="minorHAnsi"/>
                <w:color w:val="000000" w:themeColor="text1"/>
                <w:szCs w:val="20"/>
                <w:vertAlign w:val="subscript"/>
                <w:lang w:val="en-GB"/>
              </w:rPr>
              <w:t>6</w:t>
            </w:r>
          </w:p>
        </w:tc>
        <w:tc>
          <w:tcPr>
            <w:tcW w:w="7074" w:type="dxa"/>
            <w:noWrap/>
          </w:tcPr>
          <w:p w14:paraId="020B1D39"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sulphur hexafluoride </w:t>
            </w:r>
          </w:p>
        </w:tc>
      </w:tr>
      <w:tr w:rsidR="00AD3320" w:rsidRPr="009B5B67" w14:paraId="5AF061EF"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0C24DC1D"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NF</w:t>
            </w:r>
            <w:r w:rsidRPr="009B5B67">
              <w:rPr>
                <w:rFonts w:cstheme="minorHAnsi"/>
                <w:color w:val="000000" w:themeColor="text1"/>
                <w:szCs w:val="20"/>
                <w:vertAlign w:val="subscript"/>
                <w:lang w:val="en-GB"/>
              </w:rPr>
              <w:t>3</w:t>
            </w:r>
          </w:p>
        </w:tc>
        <w:tc>
          <w:tcPr>
            <w:tcW w:w="7074" w:type="dxa"/>
            <w:noWrap/>
          </w:tcPr>
          <w:p w14:paraId="7D1CF503"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nitrogen trifluoride </w:t>
            </w:r>
          </w:p>
        </w:tc>
      </w:tr>
      <w:tr w:rsidR="00AD3320" w:rsidRPr="009B5B67" w14:paraId="0A0F2B2C"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2E9F2C0"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SO</w:t>
            </w:r>
            <w:r w:rsidRPr="009B5B67">
              <w:rPr>
                <w:rFonts w:cstheme="minorHAnsi"/>
                <w:color w:val="000000" w:themeColor="text1"/>
                <w:szCs w:val="20"/>
                <w:vertAlign w:val="subscript"/>
                <w:lang w:val="en-GB"/>
              </w:rPr>
              <w:t>2</w:t>
            </w:r>
          </w:p>
        </w:tc>
        <w:tc>
          <w:tcPr>
            <w:tcW w:w="7074" w:type="dxa"/>
            <w:noWrap/>
          </w:tcPr>
          <w:p w14:paraId="7412A349"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sulphur dioxide</w:t>
            </w:r>
          </w:p>
        </w:tc>
      </w:tr>
      <w:tr w:rsidR="00AD3320" w:rsidRPr="009B5B67" w14:paraId="4EF95D6F"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02F7F002"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NO</w:t>
            </w:r>
            <w:r w:rsidRPr="009B5B67">
              <w:rPr>
                <w:rFonts w:cstheme="minorHAnsi"/>
                <w:color w:val="000000" w:themeColor="text1"/>
                <w:szCs w:val="20"/>
                <w:vertAlign w:val="subscript"/>
                <w:lang w:val="en-GB"/>
              </w:rPr>
              <w:t>2</w:t>
            </w:r>
          </w:p>
        </w:tc>
        <w:tc>
          <w:tcPr>
            <w:tcW w:w="7074" w:type="dxa"/>
            <w:noWrap/>
          </w:tcPr>
          <w:p w14:paraId="7CBF38F7"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nitrogen dioxide</w:t>
            </w:r>
          </w:p>
        </w:tc>
      </w:tr>
      <w:tr w:rsidR="00AD3320" w:rsidRPr="000324FE" w14:paraId="2B42FFC2"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4F8245E9"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PM</w:t>
            </w:r>
            <w:r w:rsidRPr="009B5B67">
              <w:rPr>
                <w:rFonts w:cstheme="minorHAnsi"/>
                <w:color w:val="000000" w:themeColor="text1"/>
                <w:szCs w:val="20"/>
                <w:vertAlign w:val="subscript"/>
                <w:lang w:val="en-GB"/>
              </w:rPr>
              <w:t>10</w:t>
            </w:r>
          </w:p>
        </w:tc>
        <w:tc>
          <w:tcPr>
            <w:tcW w:w="7074" w:type="dxa"/>
            <w:noWrap/>
          </w:tcPr>
          <w:p w14:paraId="53C0ECA3"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 xml:space="preserve">particulate matter with </w:t>
            </w:r>
            <w:r w:rsidRPr="009B5B67">
              <w:rPr>
                <w:color w:val="000000" w:themeColor="text1"/>
                <w:lang w:val="en-GB"/>
              </w:rPr>
              <w:t xml:space="preserve">coarse particles with a diameter of 10 </w:t>
            </w:r>
            <w:proofErr w:type="spellStart"/>
            <w:r w:rsidRPr="009B5B67">
              <w:rPr>
                <w:color w:val="000000" w:themeColor="text1"/>
                <w:lang w:val="en-GB"/>
              </w:rPr>
              <w:t>micrometers</w:t>
            </w:r>
            <w:proofErr w:type="spellEnd"/>
            <w:r w:rsidRPr="009B5B67">
              <w:rPr>
                <w:color w:val="000000" w:themeColor="text1"/>
                <w:lang w:val="en-GB"/>
              </w:rPr>
              <w:t xml:space="preserve"> (</w:t>
            </w:r>
            <w:proofErr w:type="spellStart"/>
            <w:r w:rsidRPr="009B5B67">
              <w:rPr>
                <w:color w:val="000000" w:themeColor="text1"/>
                <w:lang w:val="en-GB"/>
              </w:rPr>
              <w:t>μm</w:t>
            </w:r>
            <w:proofErr w:type="spellEnd"/>
            <w:r w:rsidRPr="009B5B67">
              <w:rPr>
                <w:color w:val="000000" w:themeColor="text1"/>
                <w:lang w:val="en-GB"/>
              </w:rPr>
              <w:t>) or less</w:t>
            </w:r>
          </w:p>
        </w:tc>
      </w:tr>
      <w:tr w:rsidR="00AD3320" w:rsidRPr="000324FE" w14:paraId="244B71F4"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445A8773" w14:textId="77777777" w:rsidR="00AD3320" w:rsidRPr="009B5B67" w:rsidRDefault="00AD3320" w:rsidP="00AD3320">
            <w:pPr>
              <w:rPr>
                <w:rFonts w:cstheme="minorHAnsi"/>
                <w:color w:val="000000" w:themeColor="text1"/>
                <w:szCs w:val="20"/>
                <w:lang w:val="en-GB"/>
              </w:rPr>
            </w:pPr>
            <w:r w:rsidRPr="009B5B67">
              <w:rPr>
                <w:rFonts w:cs="Arial"/>
                <w:color w:val="000000" w:themeColor="text1"/>
                <w:szCs w:val="20"/>
                <w:lang w:val="en-GB"/>
              </w:rPr>
              <w:t>PM</w:t>
            </w:r>
            <w:r w:rsidRPr="009B5B67">
              <w:rPr>
                <w:rFonts w:cs="Arial"/>
                <w:color w:val="000000" w:themeColor="text1"/>
                <w:szCs w:val="20"/>
                <w:vertAlign w:val="subscript"/>
                <w:lang w:val="en-GB"/>
              </w:rPr>
              <w:t>2,5</w:t>
            </w:r>
          </w:p>
        </w:tc>
        <w:tc>
          <w:tcPr>
            <w:tcW w:w="7074" w:type="dxa"/>
            <w:noWrap/>
          </w:tcPr>
          <w:p w14:paraId="600B15AD"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lang w:val="en-GB"/>
              </w:rPr>
            </w:pPr>
            <w:r w:rsidRPr="009B5B67">
              <w:rPr>
                <w:rFonts w:cstheme="minorHAnsi"/>
                <w:color w:val="000000" w:themeColor="text1"/>
                <w:szCs w:val="20"/>
                <w:lang w:val="en-GB"/>
              </w:rPr>
              <w:t xml:space="preserve">particulate matter </w:t>
            </w:r>
            <w:r w:rsidRPr="009B5B67">
              <w:rPr>
                <w:color w:val="000000" w:themeColor="text1"/>
                <w:lang w:val="en-GB"/>
              </w:rPr>
              <w:t xml:space="preserve">with finest particles with a diameter of 2.5 </w:t>
            </w:r>
            <w:proofErr w:type="spellStart"/>
            <w:r w:rsidRPr="009B5B67">
              <w:rPr>
                <w:color w:val="000000" w:themeColor="text1"/>
                <w:lang w:val="en-GB"/>
              </w:rPr>
              <w:t>micrometers</w:t>
            </w:r>
            <w:proofErr w:type="spellEnd"/>
            <w:r w:rsidRPr="009B5B67">
              <w:rPr>
                <w:color w:val="000000" w:themeColor="text1"/>
                <w:lang w:val="en-GB"/>
              </w:rPr>
              <w:t xml:space="preserve"> (</w:t>
            </w:r>
            <w:proofErr w:type="spellStart"/>
            <w:r w:rsidRPr="009B5B67">
              <w:rPr>
                <w:color w:val="000000" w:themeColor="text1"/>
                <w:lang w:val="en-GB"/>
              </w:rPr>
              <w:t>μm</w:t>
            </w:r>
            <w:proofErr w:type="spellEnd"/>
            <w:r w:rsidRPr="009B5B67">
              <w:rPr>
                <w:color w:val="000000" w:themeColor="text1"/>
                <w:lang w:val="en-GB"/>
              </w:rPr>
              <w:t>) or less</w:t>
            </w:r>
          </w:p>
        </w:tc>
      </w:tr>
      <w:tr w:rsidR="00AD3320" w:rsidRPr="009B5B67" w14:paraId="6E8EADF7"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D5F6AE3"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O</w:t>
            </w:r>
            <w:r w:rsidRPr="009B5B67">
              <w:rPr>
                <w:rFonts w:cstheme="minorHAnsi"/>
                <w:color w:val="000000" w:themeColor="text1"/>
                <w:szCs w:val="20"/>
                <w:vertAlign w:val="subscript"/>
                <w:lang w:val="en-GB"/>
              </w:rPr>
              <w:t>3</w:t>
            </w:r>
          </w:p>
        </w:tc>
        <w:tc>
          <w:tcPr>
            <w:tcW w:w="7074" w:type="dxa"/>
            <w:noWrap/>
          </w:tcPr>
          <w:p w14:paraId="50949115" w14:textId="36D92458" w:rsidR="00AD3320" w:rsidRPr="009B5B67" w:rsidRDefault="00075D19"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O</w:t>
            </w:r>
            <w:r w:rsidR="00AD3320" w:rsidRPr="009B5B67">
              <w:rPr>
                <w:rFonts w:cstheme="minorHAnsi"/>
                <w:color w:val="000000" w:themeColor="text1"/>
                <w:szCs w:val="20"/>
                <w:lang w:val="en-GB"/>
              </w:rPr>
              <w:t>zone</w:t>
            </w:r>
          </w:p>
        </w:tc>
      </w:tr>
      <w:tr w:rsidR="00AD3320" w:rsidRPr="009B5B67" w14:paraId="7E985DD0"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2B4C6AD" w14:textId="77777777" w:rsidR="00AD3320" w:rsidRPr="009B5B67" w:rsidRDefault="00AD3320" w:rsidP="00AD3320">
            <w:pPr>
              <w:rPr>
                <w:color w:val="000000" w:themeColor="text1"/>
                <w:lang w:val="en-GB" w:eastAsia="de-DE"/>
              </w:rPr>
            </w:pPr>
            <w:r w:rsidRPr="009B5B67">
              <w:rPr>
                <w:rFonts w:cstheme="minorHAnsi"/>
                <w:color w:val="000000" w:themeColor="text1"/>
                <w:szCs w:val="20"/>
                <w:lang w:val="en-GB"/>
              </w:rPr>
              <w:t>ODS</w:t>
            </w:r>
          </w:p>
        </w:tc>
        <w:tc>
          <w:tcPr>
            <w:tcW w:w="7074" w:type="dxa"/>
            <w:noWrap/>
          </w:tcPr>
          <w:p w14:paraId="1C36D50F"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ozone depleting substances</w:t>
            </w:r>
          </w:p>
        </w:tc>
      </w:tr>
      <w:tr w:rsidR="00AD3320" w:rsidRPr="009B5B67" w14:paraId="4C6E21BC"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3653EBB3" w14:textId="77777777" w:rsidR="00AD3320" w:rsidRPr="009B5B67" w:rsidRDefault="00AD3320" w:rsidP="00AD3320">
            <w:pPr>
              <w:rPr>
                <w:color w:val="000000" w:themeColor="text1"/>
                <w:lang w:val="en-GB" w:eastAsia="de-DE"/>
              </w:rPr>
            </w:pPr>
            <w:r w:rsidRPr="009B5B67">
              <w:rPr>
                <w:rFonts w:cs="Arial"/>
                <w:color w:val="000000" w:themeColor="text1"/>
                <w:szCs w:val="20"/>
                <w:lang w:val="en-GB"/>
              </w:rPr>
              <w:t>Mio</w:t>
            </w:r>
          </w:p>
        </w:tc>
        <w:tc>
          <w:tcPr>
            <w:tcW w:w="7074" w:type="dxa"/>
            <w:noWrap/>
          </w:tcPr>
          <w:p w14:paraId="4C8604AC"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Million</w:t>
            </w:r>
          </w:p>
        </w:tc>
      </w:tr>
      <w:tr w:rsidR="00AD3320" w:rsidRPr="009B5B67" w14:paraId="46F98D84"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38110EAD" w14:textId="77777777" w:rsidR="00AD3320" w:rsidRPr="009B5B67" w:rsidRDefault="00AD3320" w:rsidP="00AD3320">
            <w:pPr>
              <w:rPr>
                <w:color w:val="000000" w:themeColor="text1"/>
                <w:lang w:val="en-GB" w:eastAsia="de-DE"/>
              </w:rPr>
            </w:pPr>
            <w:r w:rsidRPr="009B5B67">
              <w:rPr>
                <w:rFonts w:cs="Arial"/>
                <w:color w:val="000000" w:themeColor="text1"/>
                <w:szCs w:val="20"/>
                <w:lang w:val="en-GB"/>
              </w:rPr>
              <w:t>kt</w:t>
            </w:r>
          </w:p>
        </w:tc>
        <w:tc>
          <w:tcPr>
            <w:tcW w:w="7074" w:type="dxa"/>
            <w:noWrap/>
          </w:tcPr>
          <w:p w14:paraId="016CD37A"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color w:val="000000" w:themeColor="text1"/>
                <w:lang w:val="en-GB" w:eastAsia="de-DE"/>
              </w:rPr>
              <w:t>kiloton = gigagram</w:t>
            </w:r>
          </w:p>
        </w:tc>
      </w:tr>
      <w:tr w:rsidR="00AD3320" w:rsidRPr="009B5B67" w14:paraId="576F9C5C"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6EB6E282" w14:textId="77777777" w:rsidR="00AD3320" w:rsidRPr="009B5B67" w:rsidRDefault="00AD3320" w:rsidP="00AD3320">
            <w:pPr>
              <w:rPr>
                <w:color w:val="000000" w:themeColor="text1"/>
                <w:lang w:val="en-GB" w:eastAsia="de-DE"/>
              </w:rPr>
            </w:pPr>
            <w:r w:rsidRPr="009B5B67">
              <w:rPr>
                <w:color w:val="000000" w:themeColor="text1"/>
                <w:lang w:val="en-GB" w:eastAsia="de-DE"/>
              </w:rPr>
              <w:t>Gg</w:t>
            </w:r>
          </w:p>
        </w:tc>
        <w:tc>
          <w:tcPr>
            <w:tcW w:w="7074" w:type="dxa"/>
            <w:noWrap/>
          </w:tcPr>
          <w:p w14:paraId="791C8D8F"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Gigagram = kiloton</w:t>
            </w:r>
          </w:p>
        </w:tc>
      </w:tr>
      <w:tr w:rsidR="00AD3320" w:rsidRPr="009B5B67" w14:paraId="72704434"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6FCE6789" w14:textId="77777777" w:rsidR="00AD3320" w:rsidRPr="009B5B67" w:rsidRDefault="00AD3320" w:rsidP="00AD3320">
            <w:pPr>
              <w:rPr>
                <w:color w:val="000000" w:themeColor="text1"/>
                <w:lang w:val="en-GB" w:eastAsia="de-DE"/>
              </w:rPr>
            </w:pPr>
            <w:r w:rsidRPr="009B5B67">
              <w:rPr>
                <w:color w:val="000000" w:themeColor="text1"/>
                <w:lang w:val="en-GB" w:eastAsia="de-DE"/>
              </w:rPr>
              <w:t>TJ</w:t>
            </w:r>
          </w:p>
        </w:tc>
        <w:tc>
          <w:tcPr>
            <w:tcW w:w="7074" w:type="dxa"/>
            <w:noWrap/>
          </w:tcPr>
          <w:p w14:paraId="5C66E51C"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proofErr w:type="spellStart"/>
            <w:r w:rsidRPr="009B5B67">
              <w:rPr>
                <w:color w:val="000000" w:themeColor="text1"/>
                <w:lang w:val="en-GB" w:eastAsia="de-DE"/>
              </w:rPr>
              <w:t>Terrajoule</w:t>
            </w:r>
            <w:proofErr w:type="spellEnd"/>
          </w:p>
        </w:tc>
      </w:tr>
      <w:tr w:rsidR="00AD3320" w:rsidRPr="009B5B67" w14:paraId="6C2597DD"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7F56158" w14:textId="77777777" w:rsidR="00AD3320" w:rsidRPr="009B5B67" w:rsidRDefault="00AD3320" w:rsidP="00AD3320">
            <w:pPr>
              <w:rPr>
                <w:color w:val="000000" w:themeColor="text1"/>
                <w:lang w:val="en-GB" w:eastAsia="de-DE"/>
              </w:rPr>
            </w:pPr>
            <w:proofErr w:type="spellStart"/>
            <w:r w:rsidRPr="009B5B67">
              <w:rPr>
                <w:rFonts w:cs="Arial"/>
                <w:color w:val="000000" w:themeColor="text1"/>
                <w:szCs w:val="20"/>
                <w:lang w:val="en-GB"/>
              </w:rPr>
              <w:t>ktoe</w:t>
            </w:r>
            <w:proofErr w:type="spellEnd"/>
          </w:p>
        </w:tc>
        <w:tc>
          <w:tcPr>
            <w:tcW w:w="7074" w:type="dxa"/>
            <w:noWrap/>
          </w:tcPr>
          <w:p w14:paraId="7BA460E1"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rPr>
              <w:t>Tonnes oil equivalent</w:t>
            </w:r>
          </w:p>
        </w:tc>
      </w:tr>
      <w:tr w:rsidR="00AD3320" w:rsidRPr="009B5B67" w14:paraId="3283DED5"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793FEA80" w14:textId="77777777" w:rsidR="00AD3320" w:rsidRPr="009B5B67" w:rsidRDefault="00AD3320" w:rsidP="00AD3320">
            <w:pPr>
              <w:rPr>
                <w:color w:val="000000" w:themeColor="text1"/>
                <w:lang w:val="en-GB"/>
              </w:rPr>
            </w:pPr>
            <w:r w:rsidRPr="009B5B67">
              <w:rPr>
                <w:rFonts w:cstheme="minorHAnsi"/>
                <w:color w:val="000000" w:themeColor="text1"/>
                <w:szCs w:val="20"/>
                <w:lang w:val="en-GB"/>
              </w:rPr>
              <w:t>Gg CO</w:t>
            </w:r>
            <w:r w:rsidRPr="009B5B67">
              <w:rPr>
                <w:rFonts w:cstheme="minorHAnsi"/>
                <w:color w:val="000000" w:themeColor="text1"/>
                <w:szCs w:val="20"/>
                <w:vertAlign w:val="subscript"/>
                <w:lang w:val="en-GB"/>
              </w:rPr>
              <w:t>2</w:t>
            </w:r>
            <w:r w:rsidRPr="009B5B67">
              <w:rPr>
                <w:rFonts w:cstheme="minorHAnsi"/>
                <w:color w:val="000000" w:themeColor="text1"/>
                <w:szCs w:val="20"/>
                <w:lang w:val="en-GB"/>
              </w:rPr>
              <w:t>eq</w:t>
            </w:r>
          </w:p>
        </w:tc>
        <w:tc>
          <w:tcPr>
            <w:tcW w:w="7074" w:type="dxa"/>
            <w:noWrap/>
          </w:tcPr>
          <w:p w14:paraId="24141C06"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color w:val="000000" w:themeColor="text1"/>
                <w:lang w:val="en-GB" w:eastAsia="de-DE"/>
              </w:rPr>
            </w:pPr>
            <w:r w:rsidRPr="009B5B67">
              <w:rPr>
                <w:rFonts w:cstheme="minorHAnsi"/>
                <w:color w:val="000000" w:themeColor="text1"/>
                <w:szCs w:val="20"/>
                <w:lang w:val="en-GB"/>
              </w:rPr>
              <w:t>Gigagram carbon dioxide equivalent</w:t>
            </w:r>
          </w:p>
        </w:tc>
      </w:tr>
      <w:tr w:rsidR="00AD3320" w:rsidRPr="009B5B67" w14:paraId="62CC9C02" w14:textId="77777777" w:rsidTr="00AD3320">
        <w:trPr>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08086441" w14:textId="77777777" w:rsidR="00AD3320" w:rsidRPr="009B5B67" w:rsidRDefault="00AD3320" w:rsidP="00AD3320">
            <w:pPr>
              <w:rPr>
                <w:color w:val="000000" w:themeColor="text1"/>
                <w:lang w:val="en-GB"/>
              </w:rPr>
            </w:pPr>
            <w:r w:rsidRPr="009B5B67">
              <w:rPr>
                <w:rFonts w:cstheme="minorHAnsi"/>
                <w:color w:val="000000" w:themeColor="text1"/>
                <w:szCs w:val="20"/>
                <w:lang w:val="en-GB"/>
              </w:rPr>
              <w:t>kt CO</w:t>
            </w:r>
            <w:r w:rsidRPr="009B5B67">
              <w:rPr>
                <w:rFonts w:cstheme="minorHAnsi"/>
                <w:color w:val="000000" w:themeColor="text1"/>
                <w:szCs w:val="20"/>
                <w:vertAlign w:val="subscript"/>
                <w:lang w:val="en-GB"/>
              </w:rPr>
              <w:t>2</w:t>
            </w:r>
            <w:r w:rsidRPr="009B5B67">
              <w:rPr>
                <w:rFonts w:cstheme="minorHAnsi"/>
                <w:color w:val="000000" w:themeColor="text1"/>
                <w:szCs w:val="20"/>
                <w:lang w:val="en-GB"/>
              </w:rPr>
              <w:t>eq</w:t>
            </w:r>
          </w:p>
        </w:tc>
        <w:tc>
          <w:tcPr>
            <w:tcW w:w="7074" w:type="dxa"/>
            <w:noWrap/>
          </w:tcPr>
          <w:p w14:paraId="44FAC10B" w14:textId="77777777" w:rsidR="00AD3320" w:rsidRPr="009B5B67" w:rsidRDefault="00AD3320" w:rsidP="00AD3320">
            <w:pPr>
              <w:cnfStyle w:val="000000000000" w:firstRow="0" w:lastRow="0" w:firstColumn="0" w:lastColumn="0" w:oddVBand="0" w:evenVBand="0" w:oddHBand="0" w:evenHBand="0" w:firstRowFirstColumn="0" w:firstRowLastColumn="0" w:lastRowFirstColumn="0" w:lastRowLastColumn="0"/>
              <w:rPr>
                <w:color w:val="000000" w:themeColor="text1"/>
                <w:lang w:val="en-GB" w:eastAsia="de-DE"/>
              </w:rPr>
            </w:pPr>
            <w:r w:rsidRPr="009B5B67">
              <w:rPr>
                <w:color w:val="000000" w:themeColor="text1"/>
                <w:lang w:val="en-GB" w:eastAsia="de-DE"/>
              </w:rPr>
              <w:t>kiloton</w:t>
            </w:r>
            <w:r w:rsidRPr="009B5B67">
              <w:rPr>
                <w:rFonts w:cstheme="minorHAnsi"/>
                <w:color w:val="000000" w:themeColor="text1"/>
                <w:szCs w:val="20"/>
                <w:lang w:val="en-GB"/>
              </w:rPr>
              <w:t xml:space="preserve"> carbon dioxide equivalent</w:t>
            </w:r>
          </w:p>
        </w:tc>
      </w:tr>
      <w:tr w:rsidR="0081129C" w:rsidRPr="009B5B67" w14:paraId="46CE098D" w14:textId="77777777" w:rsidTr="00AD332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noWrap/>
          </w:tcPr>
          <w:p w14:paraId="5E89F0D6" w14:textId="77777777" w:rsidR="00AD3320" w:rsidRPr="009B5B67" w:rsidRDefault="00AD3320" w:rsidP="00AD3320">
            <w:pPr>
              <w:rPr>
                <w:rFonts w:cstheme="minorHAnsi"/>
                <w:color w:val="000000" w:themeColor="text1"/>
                <w:szCs w:val="20"/>
                <w:lang w:val="en-GB"/>
              </w:rPr>
            </w:pPr>
          </w:p>
        </w:tc>
        <w:tc>
          <w:tcPr>
            <w:tcW w:w="7074" w:type="dxa"/>
            <w:noWrap/>
          </w:tcPr>
          <w:p w14:paraId="6CE92219" w14:textId="77777777" w:rsidR="00AD3320" w:rsidRPr="009B5B67" w:rsidRDefault="00AD3320" w:rsidP="00AD3320">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Cs w:val="20"/>
                <w:lang w:val="en-GB"/>
              </w:rPr>
            </w:pPr>
          </w:p>
        </w:tc>
      </w:tr>
    </w:tbl>
    <w:p w14:paraId="6951326C" w14:textId="77777777" w:rsidR="00201A42" w:rsidRPr="009B5B67" w:rsidRDefault="00201A42" w:rsidP="008245F4">
      <w:pPr>
        <w:rPr>
          <w:lang w:val="en-GB"/>
        </w:rPr>
      </w:pPr>
    </w:p>
    <w:sectPr w:rsidR="00201A42" w:rsidRPr="009B5B67" w:rsidSect="00742051">
      <w:footerReference w:type="default" r:id="rId29"/>
      <w:headerReference w:type="first" r:id="rId30"/>
      <w:pgSz w:w="11900" w:h="16840"/>
      <w:pgMar w:top="1317" w:right="1418" w:bottom="1134" w:left="1418"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9BE7" w14:textId="77777777" w:rsidR="00160205" w:rsidRDefault="00160205" w:rsidP="0073061D">
      <w:r>
        <w:separator/>
      </w:r>
    </w:p>
  </w:endnote>
  <w:endnote w:type="continuationSeparator" w:id="0">
    <w:p w14:paraId="60BA6D90" w14:textId="77777777" w:rsidR="00160205" w:rsidRDefault="00160205" w:rsidP="0073061D">
      <w:r>
        <w:continuationSeparator/>
      </w:r>
    </w:p>
  </w:endnote>
  <w:endnote w:type="continuationNotice" w:id="1">
    <w:p w14:paraId="7F224266" w14:textId="77777777" w:rsidR="00160205" w:rsidRDefault="001602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FDB9" w14:textId="77777777" w:rsidR="000324FE" w:rsidRDefault="000324FE">
    <w:pPr>
      <w:pStyle w:val="Foote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3380"/>
      <w:gridCol w:w="2822"/>
    </w:tblGrid>
    <w:tr w:rsidR="000324FE" w:rsidRPr="003B1FDF" w14:paraId="4A4771CD" w14:textId="77777777" w:rsidTr="00E60897">
      <w:trPr>
        <w:trHeight w:val="567"/>
      </w:trPr>
      <w:tc>
        <w:tcPr>
          <w:tcW w:w="3018" w:type="dxa"/>
          <w:vAlign w:val="center"/>
        </w:tcPr>
        <w:p w14:paraId="1F5D93BA" w14:textId="77777777" w:rsidR="000324FE" w:rsidRPr="003B1FDF" w:rsidRDefault="000324FE" w:rsidP="00EC1933">
          <w:pPr>
            <w:rPr>
              <w:rFonts w:cs="Arial"/>
              <w:noProof/>
              <w:szCs w:val="21"/>
            </w:rPr>
          </w:pPr>
          <w:r>
            <w:rPr>
              <w:rFonts w:cs="Arial"/>
              <w:noProof/>
              <w:szCs w:val="21"/>
            </w:rPr>
            <w:t>November 16th, 2020</w:t>
          </w:r>
        </w:p>
      </w:tc>
      <w:tc>
        <w:tcPr>
          <w:tcW w:w="3018" w:type="dxa"/>
          <w:vAlign w:val="center"/>
        </w:tcPr>
        <w:p w14:paraId="63F9013D" w14:textId="77777777" w:rsidR="000324FE" w:rsidRPr="003B1FDF" w:rsidRDefault="000324FE" w:rsidP="00742051">
          <w:pPr>
            <w:jc w:val="center"/>
            <w:rPr>
              <w:rFonts w:cs="Arial"/>
              <w:noProof/>
              <w:szCs w:val="21"/>
            </w:rPr>
          </w:pPr>
          <w:r w:rsidRPr="003B1FDF">
            <w:rPr>
              <w:rFonts w:cs="Arial"/>
              <w:noProof/>
              <w:szCs w:val="21"/>
              <w:lang w:eastAsia="de-AT"/>
            </w:rPr>
            <w:drawing>
              <wp:inline distT="0" distB="0" distL="0" distR="0" wp14:anchorId="18CDFB15" wp14:editId="312611B2">
                <wp:extent cx="2009302" cy="180000"/>
                <wp:effectExtent l="0" t="0" r="0" b="0"/>
                <wp:docPr id="22" name="Grafik 9" descr="Umweltbundesamt_RGB_TL-links_eng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mweltbundesamt_RGB_TL-links_engl.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302" cy="180000"/>
                        </a:xfrm>
                        <a:prstGeom prst="rect">
                          <a:avLst/>
                        </a:prstGeom>
                        <a:noFill/>
                        <a:ln>
                          <a:noFill/>
                        </a:ln>
                      </pic:spPr>
                    </pic:pic>
                  </a:graphicData>
                </a:graphic>
              </wp:inline>
            </w:drawing>
          </w:r>
        </w:p>
      </w:tc>
      <w:tc>
        <w:tcPr>
          <w:tcW w:w="3018" w:type="dxa"/>
          <w:vAlign w:val="center"/>
        </w:tcPr>
        <w:p w14:paraId="62B1639D" w14:textId="7F28E681" w:rsidR="000324FE" w:rsidRPr="003B1FDF" w:rsidRDefault="000324FE" w:rsidP="00FF63A7">
          <w:pPr>
            <w:jc w:val="right"/>
            <w:rPr>
              <w:rFonts w:cs="Arial"/>
              <w:noProof/>
              <w:szCs w:val="21"/>
            </w:rPr>
          </w:pPr>
          <w:r w:rsidRPr="003B1FDF">
            <w:rPr>
              <w:rFonts w:cs="Arial"/>
              <w:noProof/>
              <w:szCs w:val="21"/>
            </w:rPr>
            <w:t xml:space="preserve">page </w:t>
          </w:r>
          <w:r w:rsidRPr="003B1FDF">
            <w:rPr>
              <w:rFonts w:cs="Arial"/>
              <w:noProof/>
              <w:szCs w:val="21"/>
            </w:rPr>
            <w:fldChar w:fldCharType="begin"/>
          </w:r>
          <w:r w:rsidRPr="003B1FDF">
            <w:rPr>
              <w:rFonts w:cs="Arial"/>
              <w:noProof/>
              <w:szCs w:val="21"/>
            </w:rPr>
            <w:instrText>PAGE  \* Arabic  \* MERGEFORMAT</w:instrText>
          </w:r>
          <w:r w:rsidRPr="003B1FDF">
            <w:rPr>
              <w:rFonts w:cs="Arial"/>
              <w:noProof/>
              <w:szCs w:val="21"/>
            </w:rPr>
            <w:fldChar w:fldCharType="separate"/>
          </w:r>
          <w:r w:rsidR="00080666">
            <w:rPr>
              <w:rFonts w:cs="Arial"/>
              <w:noProof/>
              <w:szCs w:val="21"/>
            </w:rPr>
            <w:t>2</w:t>
          </w:r>
          <w:r w:rsidRPr="003B1FDF">
            <w:rPr>
              <w:rFonts w:cs="Arial"/>
              <w:noProof/>
              <w:szCs w:val="21"/>
            </w:rPr>
            <w:fldChar w:fldCharType="end"/>
          </w:r>
          <w:r w:rsidRPr="003B1FDF">
            <w:rPr>
              <w:rFonts w:cs="Arial"/>
              <w:noProof/>
              <w:szCs w:val="21"/>
            </w:rPr>
            <w:t xml:space="preserve"> / </w:t>
          </w:r>
          <w:r w:rsidRPr="003B1FDF">
            <w:rPr>
              <w:rFonts w:cs="Arial"/>
              <w:noProof/>
              <w:szCs w:val="21"/>
            </w:rPr>
            <w:fldChar w:fldCharType="begin"/>
          </w:r>
          <w:r w:rsidRPr="003B1FDF">
            <w:rPr>
              <w:rFonts w:cs="Arial"/>
              <w:noProof/>
              <w:szCs w:val="21"/>
            </w:rPr>
            <w:instrText>NUMPAGES  \* Arabic  \* MERGEFORMAT</w:instrText>
          </w:r>
          <w:r w:rsidRPr="003B1FDF">
            <w:rPr>
              <w:rFonts w:cs="Arial"/>
              <w:noProof/>
              <w:szCs w:val="21"/>
            </w:rPr>
            <w:fldChar w:fldCharType="separate"/>
          </w:r>
          <w:r w:rsidR="00080666">
            <w:rPr>
              <w:rFonts w:cs="Arial"/>
              <w:noProof/>
              <w:szCs w:val="21"/>
            </w:rPr>
            <w:t>65</w:t>
          </w:r>
          <w:r w:rsidRPr="003B1FDF">
            <w:rPr>
              <w:rFonts w:cs="Arial"/>
              <w:noProof/>
              <w:szCs w:val="21"/>
            </w:rPr>
            <w:fldChar w:fldCharType="end"/>
          </w:r>
        </w:p>
      </w:tc>
    </w:tr>
  </w:tbl>
  <w:p w14:paraId="31E5914D" w14:textId="77777777" w:rsidR="000324FE" w:rsidRDefault="000324FE">
    <w:pPr>
      <w:pStyle w:val="Footer"/>
    </w:pPr>
  </w:p>
  <w:p w14:paraId="4F0409EB" w14:textId="77777777" w:rsidR="000324FE" w:rsidRDefault="00032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5290" w14:textId="77777777" w:rsidR="000324FE" w:rsidRDefault="000324FE" w:rsidP="007420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921D" w14:textId="31F2C348" w:rsidR="000324FE" w:rsidRDefault="000324FE" w:rsidP="00217714">
    <w:pPr>
      <w:pStyle w:val="Footer"/>
      <w:pBdr>
        <w:top w:val="single" w:sz="4" w:space="1" w:color="auto"/>
      </w:pBdr>
      <w:tabs>
        <w:tab w:val="clear" w:pos="4536"/>
        <w:tab w:val="clear" w:pos="9072"/>
        <w:tab w:val="left" w:pos="2604"/>
      </w:tabs>
      <w:spacing w:before="240"/>
      <w:jc w:val="center"/>
    </w:pPr>
    <w:r>
      <w:rPr>
        <w:rFonts w:cstheme="minorHAnsi"/>
        <w:szCs w:val="18"/>
        <w:lang w:val="en-GB"/>
      </w:rPr>
      <w:fldChar w:fldCharType="begin"/>
    </w:r>
    <w:r>
      <w:rPr>
        <w:rFonts w:cstheme="minorHAnsi"/>
        <w:szCs w:val="18"/>
        <w:lang w:val="en-GB"/>
      </w:rPr>
      <w:instrText xml:space="preserve"> PAGE   \* MERGEFORMAT </w:instrText>
    </w:r>
    <w:r>
      <w:rPr>
        <w:rFonts w:cstheme="minorHAnsi"/>
        <w:szCs w:val="18"/>
        <w:lang w:val="en-GB"/>
      </w:rPr>
      <w:fldChar w:fldCharType="separate"/>
    </w:r>
    <w:r w:rsidR="00080666">
      <w:rPr>
        <w:rFonts w:cstheme="minorHAnsi"/>
        <w:noProof/>
        <w:szCs w:val="18"/>
        <w:lang w:val="en-GB"/>
      </w:rPr>
      <w:t>4</w:t>
    </w:r>
    <w:r>
      <w:rPr>
        <w:rFonts w:cstheme="minorHAnsi"/>
        <w:szCs w:val="18"/>
        <w:lang w:val="en-GB"/>
      </w:rPr>
      <w:fldChar w:fldCharType="end"/>
    </w:r>
    <w:r>
      <w:rPr>
        <w:rFonts w:cstheme="minorHAnsi"/>
        <w:szCs w:val="18"/>
        <w:lang w:val="en-GB"/>
      </w:rPr>
      <w:t xml:space="preserve"> of </w:t>
    </w:r>
    <w:r>
      <w:rPr>
        <w:rFonts w:cstheme="minorHAnsi"/>
        <w:szCs w:val="18"/>
        <w:lang w:val="en-GB"/>
      </w:rPr>
      <w:fldChar w:fldCharType="begin"/>
    </w:r>
    <w:r>
      <w:rPr>
        <w:rFonts w:cstheme="minorHAnsi"/>
        <w:szCs w:val="18"/>
        <w:lang w:val="en-GB"/>
      </w:rPr>
      <w:instrText xml:space="preserve"> NUMPAGES   \* MERGEFORMAT </w:instrText>
    </w:r>
    <w:r>
      <w:rPr>
        <w:rFonts w:cstheme="minorHAnsi"/>
        <w:szCs w:val="18"/>
        <w:lang w:val="en-GB"/>
      </w:rPr>
      <w:fldChar w:fldCharType="separate"/>
    </w:r>
    <w:r w:rsidR="00080666">
      <w:rPr>
        <w:rFonts w:cstheme="minorHAnsi"/>
        <w:noProof/>
        <w:szCs w:val="18"/>
        <w:lang w:val="en-GB"/>
      </w:rPr>
      <w:t>65</w:t>
    </w:r>
    <w:r>
      <w:rPr>
        <w:rFonts w:cstheme="minorHAnsi"/>
        <w:szCs w:val="18"/>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5061" w14:textId="3AFCB375" w:rsidR="000324FE" w:rsidRPr="00201A42" w:rsidRDefault="000324FE" w:rsidP="00503AE8">
    <w:pPr>
      <w:pStyle w:val="Footer"/>
      <w:pBdr>
        <w:top w:val="single" w:sz="4" w:space="1" w:color="auto"/>
      </w:pBdr>
      <w:tabs>
        <w:tab w:val="clear" w:pos="4536"/>
        <w:tab w:val="clear" w:pos="9072"/>
        <w:tab w:val="left" w:pos="2604"/>
      </w:tabs>
      <w:spacing w:before="240"/>
      <w:jc w:val="center"/>
    </w:pPr>
    <w:r w:rsidRPr="00201A42">
      <w:rPr>
        <w:rFonts w:cstheme="minorHAnsi"/>
        <w:szCs w:val="18"/>
        <w:lang w:val="en-GB"/>
      </w:rPr>
      <w:fldChar w:fldCharType="begin"/>
    </w:r>
    <w:r w:rsidRPr="00201A42">
      <w:rPr>
        <w:rFonts w:cstheme="minorHAnsi"/>
        <w:szCs w:val="18"/>
        <w:lang w:val="en-GB"/>
      </w:rPr>
      <w:instrText xml:space="preserve"> PAGE   \* MERGEFORMAT </w:instrText>
    </w:r>
    <w:r w:rsidRPr="00201A42">
      <w:rPr>
        <w:rFonts w:cstheme="minorHAnsi"/>
        <w:szCs w:val="18"/>
        <w:lang w:val="en-GB"/>
      </w:rPr>
      <w:fldChar w:fldCharType="separate"/>
    </w:r>
    <w:r w:rsidR="00080666">
      <w:rPr>
        <w:rFonts w:cstheme="minorHAnsi"/>
        <w:noProof/>
        <w:szCs w:val="18"/>
        <w:lang w:val="en-GB"/>
      </w:rPr>
      <w:t>64</w:t>
    </w:r>
    <w:r w:rsidRPr="00201A42">
      <w:rPr>
        <w:rFonts w:cstheme="minorHAnsi"/>
        <w:szCs w:val="18"/>
        <w:lang w:val="en-GB"/>
      </w:rPr>
      <w:fldChar w:fldCharType="end"/>
    </w:r>
    <w:r w:rsidRPr="00201A42">
      <w:rPr>
        <w:rFonts w:cstheme="minorHAnsi"/>
        <w:szCs w:val="18"/>
        <w:lang w:val="en-GB"/>
      </w:rPr>
      <w:t xml:space="preserve"> of </w:t>
    </w:r>
    <w:r w:rsidRPr="00201A42">
      <w:rPr>
        <w:rFonts w:cstheme="minorHAnsi"/>
        <w:szCs w:val="18"/>
        <w:lang w:val="en-GB"/>
      </w:rPr>
      <w:fldChar w:fldCharType="begin"/>
    </w:r>
    <w:r w:rsidRPr="00201A42">
      <w:rPr>
        <w:rFonts w:cstheme="minorHAnsi"/>
        <w:szCs w:val="18"/>
        <w:lang w:val="en-GB"/>
      </w:rPr>
      <w:instrText xml:space="preserve"> NUMPAGES   \* MERGEFORMAT </w:instrText>
    </w:r>
    <w:r w:rsidRPr="00201A42">
      <w:rPr>
        <w:rFonts w:cstheme="minorHAnsi"/>
        <w:szCs w:val="18"/>
        <w:lang w:val="en-GB"/>
      </w:rPr>
      <w:fldChar w:fldCharType="separate"/>
    </w:r>
    <w:r w:rsidR="00080666">
      <w:rPr>
        <w:rFonts w:cstheme="minorHAnsi"/>
        <w:noProof/>
        <w:szCs w:val="18"/>
        <w:lang w:val="en-GB"/>
      </w:rPr>
      <w:t>64</w:t>
    </w:r>
    <w:r w:rsidRPr="00201A42">
      <w:rPr>
        <w:rFonts w:cstheme="minorHAnsi"/>
        <w:szCs w:val="18"/>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72C5" w14:textId="134ACBED" w:rsidR="000324FE" w:rsidRDefault="000324FE" w:rsidP="0081129C">
    <w:pPr>
      <w:pStyle w:val="Footer"/>
      <w:pBdr>
        <w:top w:val="single" w:sz="4" w:space="1" w:color="auto"/>
      </w:pBdr>
      <w:tabs>
        <w:tab w:val="clear" w:pos="4536"/>
        <w:tab w:val="clear" w:pos="9072"/>
        <w:tab w:val="left" w:pos="2604"/>
      </w:tabs>
      <w:spacing w:before="240"/>
      <w:jc w:val="center"/>
    </w:pPr>
    <w:r w:rsidRPr="00201A42">
      <w:rPr>
        <w:rFonts w:cstheme="minorHAnsi"/>
        <w:szCs w:val="18"/>
        <w:lang w:val="en-GB"/>
      </w:rPr>
      <w:fldChar w:fldCharType="begin"/>
    </w:r>
    <w:r w:rsidRPr="00201A42">
      <w:rPr>
        <w:rFonts w:cstheme="minorHAnsi"/>
        <w:szCs w:val="18"/>
        <w:lang w:val="en-GB"/>
      </w:rPr>
      <w:instrText xml:space="preserve"> PAGE   \* MERGEFORMAT </w:instrText>
    </w:r>
    <w:r w:rsidRPr="00201A42">
      <w:rPr>
        <w:rFonts w:cstheme="minorHAnsi"/>
        <w:szCs w:val="18"/>
        <w:lang w:val="en-GB"/>
      </w:rPr>
      <w:fldChar w:fldCharType="separate"/>
    </w:r>
    <w:r w:rsidR="00080666">
      <w:rPr>
        <w:rFonts w:cstheme="minorHAnsi"/>
        <w:noProof/>
        <w:szCs w:val="18"/>
        <w:lang w:val="en-GB"/>
      </w:rPr>
      <w:t>65</w:t>
    </w:r>
    <w:r w:rsidRPr="00201A42">
      <w:rPr>
        <w:rFonts w:cstheme="minorHAnsi"/>
        <w:szCs w:val="18"/>
        <w:lang w:val="en-GB"/>
      </w:rPr>
      <w:fldChar w:fldCharType="end"/>
    </w:r>
    <w:r w:rsidRPr="00201A42">
      <w:rPr>
        <w:rFonts w:cstheme="minorHAnsi"/>
        <w:szCs w:val="18"/>
        <w:lang w:val="en-GB"/>
      </w:rPr>
      <w:t xml:space="preserve"> of </w:t>
    </w:r>
    <w:r w:rsidRPr="00201A42">
      <w:rPr>
        <w:rFonts w:cstheme="minorHAnsi"/>
        <w:szCs w:val="18"/>
        <w:lang w:val="en-GB"/>
      </w:rPr>
      <w:fldChar w:fldCharType="begin"/>
    </w:r>
    <w:r w:rsidRPr="00201A42">
      <w:rPr>
        <w:rFonts w:cstheme="minorHAnsi"/>
        <w:szCs w:val="18"/>
        <w:lang w:val="en-GB"/>
      </w:rPr>
      <w:instrText xml:space="preserve"> NUMPAGES   \* MERGEFORMAT </w:instrText>
    </w:r>
    <w:r w:rsidRPr="00201A42">
      <w:rPr>
        <w:rFonts w:cstheme="minorHAnsi"/>
        <w:szCs w:val="18"/>
        <w:lang w:val="en-GB"/>
      </w:rPr>
      <w:fldChar w:fldCharType="separate"/>
    </w:r>
    <w:r w:rsidR="00080666">
      <w:rPr>
        <w:rFonts w:cstheme="minorHAnsi"/>
        <w:noProof/>
        <w:szCs w:val="18"/>
        <w:lang w:val="en-GB"/>
      </w:rPr>
      <w:t>65</w:t>
    </w:r>
    <w:r w:rsidRPr="00201A42">
      <w:rPr>
        <w:rFonts w:cstheme="minorHAnsi"/>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E510" w14:textId="77777777" w:rsidR="00160205" w:rsidRDefault="00160205" w:rsidP="0073061D">
      <w:r>
        <w:separator/>
      </w:r>
    </w:p>
  </w:footnote>
  <w:footnote w:type="continuationSeparator" w:id="0">
    <w:p w14:paraId="5B5C00B5" w14:textId="77777777" w:rsidR="00160205" w:rsidRDefault="00160205" w:rsidP="0073061D">
      <w:r>
        <w:continuationSeparator/>
      </w:r>
    </w:p>
  </w:footnote>
  <w:footnote w:type="continuationNotice" w:id="1">
    <w:p w14:paraId="118A0EFC" w14:textId="77777777" w:rsidR="00160205" w:rsidRDefault="00160205">
      <w:pPr>
        <w:spacing w:after="0" w:line="240" w:lineRule="auto"/>
      </w:pPr>
    </w:p>
  </w:footnote>
  <w:footnote w:id="2">
    <w:p w14:paraId="6FE01674" w14:textId="77777777" w:rsidR="000324FE" w:rsidRPr="00663F78" w:rsidRDefault="000324FE" w:rsidP="00F33550">
      <w:pPr>
        <w:pStyle w:val="FootnoteText"/>
        <w:rPr>
          <w:lang w:val="sr-Latn-RS"/>
        </w:rPr>
      </w:pPr>
      <w:r>
        <w:rPr>
          <w:rStyle w:val="FootnoteReference"/>
        </w:rPr>
        <w:footnoteRef/>
      </w:r>
      <w:r w:rsidRPr="00A21267">
        <w:rPr>
          <w:lang w:val="en-US"/>
        </w:rPr>
        <w:t xml:space="preserve"> COVID-19: Socio-Economic Response Plan for Serbia, https://www.rs.undp.org/content/serbia/en/home/library/crisis_prevention_and_recovery/covid-19-socio-economic-response-plan.html</w:t>
      </w:r>
    </w:p>
    <w:p w14:paraId="02CA44B3" w14:textId="77777777" w:rsidR="000324FE" w:rsidRPr="00356A00" w:rsidRDefault="000324FE" w:rsidP="00F33550">
      <w:pPr>
        <w:pStyle w:val="FootnoteText"/>
        <w:rPr>
          <w:lang w:val="sr-Latn-RS"/>
        </w:rPr>
      </w:pPr>
    </w:p>
  </w:footnote>
  <w:footnote w:id="3">
    <w:p w14:paraId="0C0DB428" w14:textId="23EB0FA7" w:rsidR="000324FE" w:rsidRPr="0064448A" w:rsidRDefault="000324FE">
      <w:pPr>
        <w:pStyle w:val="FootnoteText"/>
        <w:rPr>
          <w:lang w:val="sr-Latn-RS"/>
        </w:rPr>
      </w:pPr>
      <w:r>
        <w:rPr>
          <w:rStyle w:val="FootnoteReference"/>
        </w:rPr>
        <w:footnoteRef/>
      </w:r>
      <w:r w:rsidRPr="00A21267">
        <w:rPr>
          <w:lang w:val="sr-Latn-RS"/>
        </w:rPr>
        <w:t xml:space="preserve"> </w:t>
      </w:r>
      <w:r w:rsidRPr="00A21267">
        <w:rPr>
          <w:lang w:val="sr-Latn-RS"/>
        </w:rPr>
        <w:t>https://www.rs.undp.org/content/serbia/en/home/library/crisis_prevention_and_recovery/covid-19-socio-economic-response-plan.html</w:t>
      </w:r>
    </w:p>
  </w:footnote>
  <w:footnote w:id="4">
    <w:p w14:paraId="76EF78F8" w14:textId="77777777" w:rsidR="000324FE" w:rsidRPr="00A21267" w:rsidRDefault="000324FE" w:rsidP="00503AE8">
      <w:pPr>
        <w:pStyle w:val="FootnoteText"/>
        <w:rPr>
          <w:lang w:val="sr-Latn-RS"/>
        </w:rPr>
      </w:pPr>
      <w:r>
        <w:rPr>
          <w:rStyle w:val="FootnoteReference"/>
        </w:rPr>
        <w:footnoteRef/>
      </w:r>
      <w:r w:rsidRPr="00A21267">
        <w:rPr>
          <w:lang w:val="sr-Latn-RS"/>
        </w:rPr>
        <w:t xml:space="preserve"> </w:t>
      </w:r>
      <w:hyperlink r:id="rId1" w:history="1">
        <w:r w:rsidRPr="00A21267">
          <w:rPr>
            <w:rStyle w:val="Hyperlink"/>
            <w:lang w:val="sr-Latn-RS"/>
          </w:rPr>
          <w:t>https://www.ipcc-nggip.iges.or.jp/public/2019rf/index.html</w:t>
        </w:r>
      </w:hyperlink>
      <w:r w:rsidRPr="00A21267">
        <w:rPr>
          <w:lang w:val="sr-Latn-RS"/>
        </w:rPr>
        <w:t xml:space="preserve"> </w:t>
      </w:r>
    </w:p>
  </w:footnote>
  <w:footnote w:id="5">
    <w:p w14:paraId="684B0523" w14:textId="199F3E58" w:rsidR="000324FE" w:rsidRPr="00236156" w:rsidRDefault="000324FE">
      <w:pPr>
        <w:pStyle w:val="FootnoteText"/>
        <w:rPr>
          <w:lang w:val="en-US"/>
        </w:rPr>
      </w:pPr>
      <w:r>
        <w:rPr>
          <w:rStyle w:val="FootnoteReference"/>
        </w:rPr>
        <w:footnoteRef/>
      </w:r>
      <w:r w:rsidRPr="00236156">
        <w:rPr>
          <w:lang w:val="en-US"/>
        </w:rPr>
        <w:t xml:space="preserve"> </w:t>
      </w:r>
      <w:r>
        <w:rPr>
          <w:lang w:val="en-US"/>
        </w:rPr>
        <w:t>UNDP (2020): Nature-based solutions for climate change mitigation and adaptation; report under the project “Establishing Transparency Framework for the Republic of Serbia</w:t>
      </w:r>
    </w:p>
  </w:footnote>
  <w:footnote w:id="6">
    <w:p w14:paraId="06E966EE" w14:textId="4936B7EA" w:rsidR="006231A5" w:rsidRPr="006231A5" w:rsidRDefault="006231A5">
      <w:pPr>
        <w:pStyle w:val="FootnoteText"/>
        <w:rPr>
          <w:lang w:val="en-US"/>
        </w:rPr>
      </w:pPr>
      <w:r>
        <w:rPr>
          <w:rStyle w:val="FootnoteReference"/>
        </w:rPr>
        <w:footnoteRef/>
      </w:r>
      <w:r w:rsidRPr="006231A5">
        <w:rPr>
          <w:lang w:val="en-US"/>
        </w:rPr>
        <w:t xml:space="preserve"> </w:t>
      </w:r>
      <w:r w:rsidRPr="003D44E8">
        <w:rPr>
          <w:rFonts w:cstheme="minorHAnsi"/>
          <w:color w:val="000000" w:themeColor="text1"/>
          <w:sz w:val="16"/>
          <w:szCs w:val="16"/>
          <w:lang w:val="en-US"/>
        </w:rPr>
        <w:t>Strategy of Agriculture and Rural Development for the period 2014-2024</w:t>
      </w:r>
    </w:p>
  </w:footnote>
  <w:footnote w:id="7">
    <w:p w14:paraId="1BDBB80C" w14:textId="3E063DEB" w:rsidR="000324FE" w:rsidRPr="00A21267" w:rsidRDefault="000324FE" w:rsidP="00152D2E">
      <w:pPr>
        <w:pStyle w:val="FootnoteText"/>
        <w:rPr>
          <w:lang w:val="en-US"/>
        </w:rPr>
      </w:pPr>
      <w:r>
        <w:rPr>
          <w:rStyle w:val="FootnoteReference"/>
        </w:rPr>
        <w:footnoteRef/>
      </w:r>
      <w:r w:rsidRPr="00A21267">
        <w:rPr>
          <w:lang w:val="en-US"/>
        </w:rPr>
        <w:t xml:space="preserve"> Gender sensitivity data and </w:t>
      </w:r>
      <w:proofErr w:type="gramStart"/>
      <w:r w:rsidRPr="00A21267">
        <w:rPr>
          <w:lang w:val="en-US"/>
        </w:rPr>
        <w:t>indicators,,</w:t>
      </w:r>
      <w:proofErr w:type="gramEnd"/>
      <w:r w:rsidRPr="00A21267">
        <w:rPr>
          <w:lang w:val="en-US"/>
        </w:rPr>
        <w:t xml:space="preserve"> https://www.klimatskepromene.rs/wp-content/uploads/2020/08/Gender-and-Climate-Change-monitoring-framework-DRAFT-18122019.pdf</w:t>
      </w:r>
    </w:p>
    <w:p w14:paraId="55801C1E" w14:textId="1FEFFF81" w:rsidR="000324FE" w:rsidRPr="00152D2E" w:rsidRDefault="000324FE">
      <w:pPr>
        <w:pStyle w:val="FootnoteText"/>
        <w:rPr>
          <w:lang w:val="sr-Latn-RS"/>
        </w:rPr>
      </w:pPr>
    </w:p>
  </w:footnote>
  <w:footnote w:id="8">
    <w:p w14:paraId="597EB186" w14:textId="7EE0F427" w:rsidR="000324FE" w:rsidRPr="0066762C" w:rsidRDefault="000324FE">
      <w:pPr>
        <w:pStyle w:val="FootnoteText"/>
        <w:rPr>
          <w:lang w:val="en-US"/>
        </w:rPr>
      </w:pPr>
      <w:r>
        <w:rPr>
          <w:rStyle w:val="FootnoteReference"/>
        </w:rPr>
        <w:footnoteRef/>
      </w:r>
      <w:r w:rsidRPr="0066762C">
        <w:rPr>
          <w:lang w:val="en-US"/>
        </w:rPr>
        <w:t xml:space="preserve"> </w:t>
      </w:r>
      <w:r>
        <w:rPr>
          <w:lang w:val="en-US"/>
        </w:rPr>
        <w:t xml:space="preserve">Climate financing in Serbia, </w:t>
      </w:r>
      <w:proofErr w:type="gramStart"/>
      <w:r>
        <w:rPr>
          <w:lang w:val="en-US"/>
        </w:rPr>
        <w:t>overview</w:t>
      </w:r>
      <w:proofErr w:type="gramEnd"/>
      <w:r>
        <w:rPr>
          <w:lang w:val="en-US"/>
        </w:rPr>
        <w:t xml:space="preserve"> and next steps.</w:t>
      </w:r>
    </w:p>
  </w:footnote>
  <w:footnote w:id="9">
    <w:p w14:paraId="62CC9E80" w14:textId="77777777" w:rsidR="000324FE" w:rsidRPr="0066762C" w:rsidRDefault="000324FE" w:rsidP="00481024">
      <w:pPr>
        <w:pStyle w:val="FootnoteText"/>
        <w:spacing w:after="0"/>
        <w:rPr>
          <w:lang w:val="en-US"/>
        </w:rPr>
      </w:pPr>
      <w:r>
        <w:rPr>
          <w:rStyle w:val="FootnoteReference"/>
        </w:rPr>
        <w:footnoteRef/>
      </w:r>
      <w:r w:rsidRPr="0066762C">
        <w:rPr>
          <w:lang w:val="en-US"/>
        </w:rPr>
        <w:t xml:space="preserve"> Implementation of the EU acquis in whole is transposed and implemented, achieving 33.3% GHG emissions compared to 1990; 28.9% RES by 2030 and 24.5% enhanced energy efficiency, as the Serbian contribution to the EU target.</w:t>
      </w:r>
    </w:p>
  </w:footnote>
  <w:footnote w:id="10">
    <w:p w14:paraId="4B825D25" w14:textId="1B6CACFB" w:rsidR="000324FE" w:rsidRPr="004A3D6D" w:rsidRDefault="000324FE" w:rsidP="00B50C33">
      <w:pPr>
        <w:pStyle w:val="FootnoteText"/>
        <w:rPr>
          <w:lang w:val="sr-Latn-RS"/>
        </w:rPr>
      </w:pPr>
      <w:r>
        <w:rPr>
          <w:rStyle w:val="FootnoteReference"/>
        </w:rPr>
        <w:footnoteRef/>
      </w:r>
      <w:r w:rsidRPr="00A21267">
        <w:rPr>
          <w:lang w:val="en-US"/>
        </w:rPr>
        <w:t xml:space="preserve"> Roadmap for a Just Transition in Serbia</w:t>
      </w:r>
    </w:p>
  </w:footnote>
  <w:footnote w:id="11">
    <w:p w14:paraId="7BA2CECD" w14:textId="77777777" w:rsidR="000324FE" w:rsidRPr="0027574F" w:rsidRDefault="000324FE" w:rsidP="00F7712C">
      <w:pPr>
        <w:pStyle w:val="FootnoteText"/>
        <w:rPr>
          <w:lang w:val="en-GB"/>
        </w:rPr>
      </w:pPr>
      <w:r>
        <w:rPr>
          <w:rStyle w:val="FootnoteReference"/>
        </w:rPr>
        <w:footnoteRef/>
      </w:r>
      <w:r w:rsidRPr="0027574F">
        <w:rPr>
          <w:lang w:val="fr-FR"/>
        </w:rPr>
        <w:t xml:space="preserve"> Adaptation </w:t>
      </w:r>
      <w:proofErr w:type="gramStart"/>
      <w:r w:rsidRPr="0027574F">
        <w:rPr>
          <w:lang w:val="fr-FR"/>
        </w:rPr>
        <w:t>options:</w:t>
      </w:r>
      <w:proofErr w:type="gramEnd"/>
      <w:r w:rsidRPr="0027574F">
        <w:rPr>
          <w:lang w:val="fr-FR"/>
        </w:rPr>
        <w:t xml:space="preserve"> </w:t>
      </w:r>
      <w:proofErr w:type="spellStart"/>
      <w:r w:rsidRPr="0027574F">
        <w:rPr>
          <w:lang w:val="fr-FR"/>
        </w:rPr>
        <w:t>Chapter</w:t>
      </w:r>
      <w:proofErr w:type="spellEnd"/>
      <w:r w:rsidRPr="0027574F">
        <w:rPr>
          <w:lang w:val="fr-FR"/>
        </w:rPr>
        <w:t xml:space="preserve"> 3.1 Agriculture – Food Production (page </w:t>
      </w:r>
      <w:r>
        <w:rPr>
          <w:lang w:val="fr-FR"/>
        </w:rPr>
        <w:t>8/9</w:t>
      </w:r>
      <w:r w:rsidRPr="0027574F">
        <w:rPr>
          <w:lang w:val="fr-FR"/>
        </w:rPr>
        <w:t xml:space="preserve">). </w:t>
      </w:r>
      <w:r w:rsidRPr="00A21267">
        <w:rPr>
          <w:lang w:val="en-US"/>
        </w:rPr>
        <w:t>(0_Result 5_Final Report.pdf)</w:t>
      </w:r>
    </w:p>
  </w:footnote>
  <w:footnote w:id="12">
    <w:p w14:paraId="487F7F4B" w14:textId="76D3E1AA" w:rsidR="000324FE" w:rsidRPr="00A21267" w:rsidRDefault="000324FE" w:rsidP="00A23BBF">
      <w:pPr>
        <w:pStyle w:val="FootnoteText"/>
        <w:rPr>
          <w:lang w:val="en-US"/>
        </w:rPr>
      </w:pPr>
      <w:r>
        <w:footnoteRef/>
      </w:r>
      <w:r>
        <w:rPr>
          <w:lang w:val="en-US"/>
        </w:rPr>
        <w:t xml:space="preserve"> Statistical Office of the Republic of Serbia</w:t>
      </w:r>
      <w:r w:rsidRPr="00081299">
        <w:rPr>
          <w:lang w:val="en-US"/>
        </w:rPr>
        <w:t>, Labor Force Survey Database</w:t>
      </w:r>
      <w:r w:rsidRPr="00A21267">
        <w:rPr>
          <w:lang w:val="en-US"/>
        </w:rPr>
        <w:t xml:space="preserve"> </w:t>
      </w:r>
      <w:hyperlink r:id="rId2" w:history="1">
        <w:r w:rsidRPr="00A21267">
          <w:rPr>
            <w:rStyle w:val="Hyperlink"/>
            <w:lang w:val="en-US"/>
          </w:rPr>
          <w:t>https://data.stat.gov.rs/Home/Result/2400020102?languageCode=sr-Latn</w:t>
        </w:r>
      </w:hyperlink>
    </w:p>
  </w:footnote>
  <w:footnote w:id="13">
    <w:p w14:paraId="32B562E1" w14:textId="1C646AA1" w:rsidR="000324FE" w:rsidRDefault="000324FE">
      <w:pPr>
        <w:pStyle w:val="FootnoteText"/>
        <w:rPr>
          <w:lang w:val="en-US"/>
        </w:rPr>
      </w:pPr>
      <w:r>
        <w:rPr>
          <w:rStyle w:val="FootnoteReference"/>
        </w:rPr>
        <w:footnoteRef/>
      </w:r>
      <w:r w:rsidRPr="00A21267">
        <w:rPr>
          <w:lang w:val="en-US"/>
        </w:rPr>
        <w:t xml:space="preserve"> Health impact of ambient air pollution in Serbia A CALL TO ACTION, WHO 2019, </w:t>
      </w:r>
      <w:hyperlink r:id="rId3" w:history="1">
        <w:r w:rsidRPr="00571B72">
          <w:rPr>
            <w:rStyle w:val="Hyperlink"/>
            <w:lang w:val="en-US"/>
          </w:rPr>
          <w:t>https://serbia.un.org/sites/default/file</w:t>
        </w:r>
      </w:hyperlink>
    </w:p>
    <w:p w14:paraId="525E078C" w14:textId="3C0F5179" w:rsidR="000324FE" w:rsidRPr="00CA3F80" w:rsidRDefault="000324FE">
      <w:pPr>
        <w:pStyle w:val="FootnoteText"/>
        <w:rPr>
          <w:lang w:val="sr-Latn-RS"/>
        </w:rPr>
      </w:pPr>
      <w:r w:rsidRPr="00A21267">
        <w:rPr>
          <w:lang w:val="en-US"/>
        </w:rPr>
        <w:t>s/2019-10/Health-impact-pollution-Serbia_0.pdf</w:t>
      </w:r>
    </w:p>
  </w:footnote>
  <w:footnote w:id="14">
    <w:p w14:paraId="2386D6CE" w14:textId="77777777" w:rsidR="000324FE" w:rsidRPr="00A21267" w:rsidRDefault="000324FE" w:rsidP="00504FF5">
      <w:pPr>
        <w:pStyle w:val="FootnoteText"/>
        <w:jc w:val="left"/>
        <w:rPr>
          <w:lang w:val="sr-Latn-RS"/>
        </w:rPr>
      </w:pPr>
      <w:r>
        <w:rPr>
          <w:rStyle w:val="FootnoteReference"/>
        </w:rPr>
        <w:footnoteRef/>
      </w:r>
      <w:r w:rsidRPr="00A21267">
        <w:rPr>
          <w:lang w:val="sr-Latn-RS"/>
        </w:rPr>
        <w:t xml:space="preserve"> </w:t>
      </w:r>
      <w:hyperlink r:id="rId4" w:history="1">
        <w:r w:rsidRPr="00A21267">
          <w:rPr>
            <w:rStyle w:val="Hyperlink"/>
            <w:lang w:val="sr-Latn-RS"/>
          </w:rPr>
          <w:t>https://ec.europa.eu/neighbourhood-enlargement/countries/detailed-country-information/serbia_en</w:t>
        </w:r>
      </w:hyperlink>
      <w:r w:rsidRPr="00A21267">
        <w:rPr>
          <w:lang w:val="sr-Latn-RS"/>
        </w:rPr>
        <w:t xml:space="preserve"> </w:t>
      </w:r>
    </w:p>
  </w:footnote>
  <w:footnote w:id="15">
    <w:p w14:paraId="06EB6286" w14:textId="77777777" w:rsidR="000324FE" w:rsidRPr="00A21267" w:rsidRDefault="000324FE" w:rsidP="0012342F">
      <w:pPr>
        <w:pStyle w:val="FootnoteText"/>
        <w:rPr>
          <w:lang w:val="sr-Latn-RS"/>
        </w:rPr>
      </w:pPr>
      <w:r>
        <w:rPr>
          <w:rStyle w:val="FootnoteReference"/>
        </w:rPr>
        <w:footnoteRef/>
      </w:r>
      <w:r w:rsidRPr="00A21267">
        <w:rPr>
          <w:lang w:val="sr-Latn-RS"/>
        </w:rPr>
        <w:t xml:space="preserve"> </w:t>
      </w:r>
      <w:hyperlink r:id="rId5" w:history="1">
        <w:r w:rsidRPr="00A21267">
          <w:rPr>
            <w:rStyle w:val="Hyperlink"/>
            <w:lang w:val="sr-Latn-RS"/>
          </w:rPr>
          <w:t>http://europa.rs/eu-serbia-talanoa-conference-on-climate-action/?lang=en</w:t>
        </w:r>
      </w:hyperlink>
      <w:r w:rsidRPr="00A21267">
        <w:rPr>
          <w:lang w:val="sr-Latn-RS"/>
        </w:rPr>
        <w:t xml:space="preserve"> </w:t>
      </w:r>
    </w:p>
  </w:footnote>
  <w:footnote w:id="16">
    <w:p w14:paraId="2E64CF8B" w14:textId="3CA0B8A6" w:rsidR="000324FE" w:rsidRPr="007A19C6" w:rsidRDefault="000324FE">
      <w:pPr>
        <w:pStyle w:val="FootnoteText"/>
        <w:rPr>
          <w:lang w:val="sr-Latn-RS"/>
        </w:rPr>
      </w:pPr>
      <w:r>
        <w:rPr>
          <w:rStyle w:val="FootnoteReference"/>
        </w:rPr>
        <w:footnoteRef/>
      </w:r>
      <w:r w:rsidRPr="00A21267">
        <w:rPr>
          <w:lang w:val="en-US"/>
        </w:rPr>
        <w:t xml:space="preserve"> Study on socio-economic aspects of climate change in the Republic of Serbia, https://www.klimatskepromene.rs/wp-content/uploads/2020/07/engl-screen-_06-04-2020_DRAFT_-Study-on-the-Socio-economic-Aspects-of-Climate-Change-on-the-Republic-of-Serbia_UNDP.pdf</w:t>
      </w:r>
    </w:p>
  </w:footnote>
  <w:footnote w:id="17">
    <w:p w14:paraId="33A19155" w14:textId="77777777" w:rsidR="000324FE" w:rsidRPr="007B2815" w:rsidRDefault="000324FE" w:rsidP="00503AE8">
      <w:pPr>
        <w:pStyle w:val="FootnoteText"/>
        <w:rPr>
          <w:lang w:val="sl-SI"/>
        </w:rPr>
      </w:pPr>
      <w:r w:rsidRPr="00BB1D5A">
        <w:rPr>
          <w:rStyle w:val="FootnoteReference"/>
        </w:rPr>
        <w:footnoteRef/>
      </w:r>
      <w:r w:rsidRPr="007B2815">
        <w:rPr>
          <w:lang w:val="sl-SI"/>
        </w:rPr>
        <w:t xml:space="preserve"> </w:t>
      </w:r>
      <w:hyperlink r:id="rId6" w:history="1">
        <w:r w:rsidRPr="007B2815">
          <w:rPr>
            <w:rStyle w:val="Hyperlink"/>
            <w:lang w:val="sl-SI"/>
          </w:rPr>
          <w:t>https://www.ekologija.gov.rs/dokumenti/</w:t>
        </w:r>
      </w:hyperlink>
      <w:r w:rsidRPr="007B2815">
        <w:rPr>
          <w:lang w:val="sl-SI"/>
        </w:rPr>
        <w:t xml:space="preserve"> </w:t>
      </w:r>
    </w:p>
  </w:footnote>
  <w:footnote w:id="18">
    <w:p w14:paraId="585145AA" w14:textId="77777777" w:rsidR="000324FE" w:rsidRPr="00201A42" w:rsidRDefault="000324FE" w:rsidP="00316DC3">
      <w:pPr>
        <w:pStyle w:val="FootnoteText"/>
        <w:jc w:val="left"/>
        <w:rPr>
          <w:lang w:val="sl-SI"/>
        </w:rPr>
      </w:pPr>
      <w:r w:rsidRPr="00BB1D5A">
        <w:rPr>
          <w:rStyle w:val="FootnoteReference"/>
        </w:rPr>
        <w:footnoteRef/>
      </w:r>
      <w:r w:rsidRPr="00201A42">
        <w:rPr>
          <w:lang w:val="sl-SI"/>
        </w:rPr>
        <w:t xml:space="preserve"> </w:t>
      </w:r>
      <w:hyperlink r:id="rId7" w:history="1">
        <w:r w:rsidRPr="00BE648A">
          <w:rPr>
            <w:rStyle w:val="Hyperlink"/>
            <w:lang w:val="sl-SI"/>
          </w:rPr>
          <w:t>https://www.ekologija.gov.rs/wp-content/uploads/javne_rasprave/Strategija%20niskougljeni%C4%8Dnog%20 razvoja%20sa%20akcionim%20planom_za%20javnu%20raspravu.pdf</w:t>
        </w:r>
      </w:hyperlink>
      <w:r w:rsidRPr="00201A42">
        <w:rPr>
          <w:lang w:val="sl-SI"/>
        </w:rPr>
        <w:t xml:space="preserve"> </w:t>
      </w:r>
    </w:p>
  </w:footnote>
  <w:footnote w:id="19">
    <w:p w14:paraId="40EA7827" w14:textId="77777777" w:rsidR="000324FE" w:rsidRPr="00201A42" w:rsidRDefault="000324FE" w:rsidP="00503AE8">
      <w:pPr>
        <w:pStyle w:val="FootnoteText"/>
        <w:rPr>
          <w:lang w:val="sl-SI"/>
        </w:rPr>
      </w:pPr>
      <w:r w:rsidRPr="0076291E">
        <w:rPr>
          <w:rStyle w:val="FootnoteReference"/>
        </w:rPr>
        <w:footnoteRef/>
      </w:r>
      <w:r w:rsidRPr="00201A42">
        <w:rPr>
          <w:lang w:val="sl-SI"/>
        </w:rPr>
        <w:t xml:space="preserve"> </w:t>
      </w:r>
      <w:hyperlink r:id="rId8" w:history="1">
        <w:r w:rsidRPr="00BE648A">
          <w:rPr>
            <w:rStyle w:val="Hyperlink"/>
            <w:lang w:val="sl-SI"/>
          </w:rPr>
          <w:t>http://www.serbiaclimatestrategy.eu/adaptation-planning-framework/</w:t>
        </w:r>
      </w:hyperlink>
      <w:r>
        <w:rPr>
          <w:lang w:val="sl-SI"/>
        </w:rPr>
        <w:t xml:space="preserve"> </w:t>
      </w:r>
    </w:p>
  </w:footnote>
  <w:footnote w:id="20">
    <w:p w14:paraId="7E10517F" w14:textId="77777777" w:rsidR="000324FE" w:rsidRPr="00503AE8" w:rsidRDefault="000324FE" w:rsidP="00811D25">
      <w:pPr>
        <w:pStyle w:val="FootnoteText"/>
        <w:spacing w:after="0"/>
        <w:rPr>
          <w:lang w:val="en-GB"/>
        </w:rPr>
      </w:pPr>
      <w:r>
        <w:rPr>
          <w:rStyle w:val="FootnoteReference"/>
        </w:rPr>
        <w:footnoteRef/>
      </w:r>
      <w:r w:rsidRPr="00503AE8">
        <w:rPr>
          <w:lang w:val="en-GB"/>
        </w:rPr>
        <w:t xml:space="preserve"> </w:t>
      </w:r>
      <w:r w:rsidRPr="00503AE8">
        <w:rPr>
          <w:rFonts w:cstheme="minorHAnsi"/>
          <w:lang w:val="en-GB"/>
        </w:rPr>
        <w:t>The development of the Climate Change Adaptation Programme is planned through the project “</w:t>
      </w:r>
      <w:r w:rsidRPr="00503AE8">
        <w:rPr>
          <w:rFonts w:cstheme="minorHAnsi"/>
          <w:b/>
          <w:lang w:val="en-GB"/>
        </w:rPr>
        <w:t>Advancing medium and long-term climate change adaptation planning in the Republic of Serbia</w:t>
      </w:r>
      <w:r w:rsidRPr="00503AE8">
        <w:rPr>
          <w:rFonts w:cstheme="minorHAnsi"/>
          <w:lang w:val="en-GB"/>
        </w:rPr>
        <w:t>” that has been initiated in the end of 2019 with the support of UNDP and the Green Climate Fund (GCF).</w:t>
      </w:r>
    </w:p>
  </w:footnote>
  <w:footnote w:id="21">
    <w:p w14:paraId="678CFBBC" w14:textId="77777777" w:rsidR="000324FE" w:rsidRPr="00503AE8" w:rsidRDefault="000324FE" w:rsidP="00503AE8">
      <w:pPr>
        <w:pStyle w:val="FootnoteText"/>
        <w:rPr>
          <w:lang w:val="en-GB"/>
        </w:rPr>
      </w:pPr>
      <w:r w:rsidRPr="008C2A39">
        <w:rPr>
          <w:rStyle w:val="FootnoteReference"/>
        </w:rPr>
        <w:footnoteRef/>
      </w:r>
      <w:r w:rsidRPr="00503AE8">
        <w:rPr>
          <w:lang w:val="en-GB"/>
        </w:rPr>
        <w:t xml:space="preserve"> </w:t>
      </w:r>
      <w:proofErr w:type="spellStart"/>
      <w:r w:rsidRPr="00503AE8">
        <w:rPr>
          <w:lang w:val="en-GB"/>
        </w:rPr>
        <w:t>Djurdjević</w:t>
      </w:r>
      <w:proofErr w:type="spellEnd"/>
      <w:r w:rsidRPr="00503AE8">
        <w:rPr>
          <w:lang w:val="en-GB"/>
        </w:rPr>
        <w:t xml:space="preserve"> V., Vuković A., </w:t>
      </w:r>
      <w:proofErr w:type="spellStart"/>
      <w:r w:rsidRPr="00503AE8">
        <w:rPr>
          <w:lang w:val="en-GB"/>
        </w:rPr>
        <w:t>Vujadinović</w:t>
      </w:r>
      <w:proofErr w:type="spellEnd"/>
      <w:r w:rsidRPr="00503AE8">
        <w:rPr>
          <w:lang w:val="en-GB"/>
        </w:rPr>
        <w:t xml:space="preserve"> </w:t>
      </w:r>
      <w:proofErr w:type="spellStart"/>
      <w:r w:rsidRPr="00503AE8">
        <w:rPr>
          <w:lang w:val="en-GB"/>
        </w:rPr>
        <w:t>Mandić</w:t>
      </w:r>
      <w:proofErr w:type="spellEnd"/>
      <w:r w:rsidRPr="00503AE8">
        <w:rPr>
          <w:lang w:val="en-GB"/>
        </w:rPr>
        <w:t xml:space="preserve"> M., Observed climate change in Serbia and projections of future climate based on different emission scenarios, 2018 (http://www.klimatskepromene.rs/wp-content/uploads/2019/04/Osmotrene-promene-klime-Final_compressed.pdf)</w:t>
      </w:r>
    </w:p>
  </w:footnote>
  <w:footnote w:id="22">
    <w:p w14:paraId="26A25236" w14:textId="77777777" w:rsidR="000324FE" w:rsidRPr="00503AE8" w:rsidRDefault="000324FE" w:rsidP="00503AE8">
      <w:pPr>
        <w:pStyle w:val="FootnoteText"/>
        <w:rPr>
          <w:lang w:val="en-GB"/>
        </w:rPr>
      </w:pPr>
      <w:r w:rsidRPr="009361F5">
        <w:rPr>
          <w:rStyle w:val="FootnoteReference"/>
        </w:rPr>
        <w:footnoteRef/>
      </w:r>
      <w:r w:rsidRPr="00503AE8">
        <w:rPr>
          <w:lang w:val="en-GB"/>
        </w:rPr>
        <w:t xml:space="preserve"> IPCC, Climate Change: Synthesis Report. Contribution of Working Groups I, II and III to the Fifth Assessment Report of the Intergovernmental Panel on Climate Change, pp.151, 2014</w:t>
      </w:r>
    </w:p>
  </w:footnote>
  <w:footnote w:id="23">
    <w:p w14:paraId="3C389F35" w14:textId="77777777" w:rsidR="000324FE" w:rsidRPr="00503AE8" w:rsidRDefault="000324FE" w:rsidP="00503AE8">
      <w:pPr>
        <w:pStyle w:val="FootnoteText"/>
        <w:rPr>
          <w:lang w:val="en-GB"/>
        </w:rPr>
      </w:pPr>
      <w:r w:rsidRPr="00E57311">
        <w:rPr>
          <w:rStyle w:val="FootnoteReference"/>
        </w:rPr>
        <w:footnoteRef/>
      </w:r>
      <w:r w:rsidRPr="00503AE8">
        <w:rPr>
          <w:lang w:val="en-GB"/>
        </w:rPr>
        <w:t xml:space="preserve"> INDC, 2015</w:t>
      </w:r>
    </w:p>
  </w:footnote>
  <w:footnote w:id="24">
    <w:p w14:paraId="634099EE" w14:textId="77777777" w:rsidR="000324FE" w:rsidRPr="00503AE8" w:rsidRDefault="000324FE" w:rsidP="00503AE8">
      <w:pPr>
        <w:pStyle w:val="FootnoteText"/>
        <w:rPr>
          <w:lang w:val="en-GB"/>
        </w:rPr>
      </w:pPr>
      <w:r w:rsidRPr="00090F6C">
        <w:rPr>
          <w:rStyle w:val="FootnoteReference"/>
        </w:rPr>
        <w:footnoteRef/>
      </w:r>
      <w:r w:rsidRPr="00503AE8">
        <w:rPr>
          <w:lang w:val="en-GB"/>
        </w:rPr>
        <w:t xml:space="preserve"> Official Gazette RS, No. 85/2014</w:t>
      </w:r>
    </w:p>
  </w:footnote>
  <w:footnote w:id="25">
    <w:p w14:paraId="77C93070" w14:textId="77777777" w:rsidR="000324FE" w:rsidRPr="00503AE8" w:rsidRDefault="000324FE" w:rsidP="00A96906">
      <w:pPr>
        <w:pStyle w:val="FootnoteText"/>
        <w:spacing w:after="0"/>
        <w:contextualSpacing/>
        <w:rPr>
          <w:lang w:val="en-GB"/>
        </w:rPr>
      </w:pPr>
      <w:r w:rsidRPr="00852545">
        <w:rPr>
          <w:rStyle w:val="FootnoteReference"/>
        </w:rPr>
        <w:footnoteRef/>
      </w:r>
      <w:r w:rsidRPr="00503AE8">
        <w:rPr>
          <w:lang w:val="en-GB"/>
        </w:rPr>
        <w:t xml:space="preserve"> Draft of the Third National Communication of the Republic of Serbia under the UNFCCC – climate change adaptation, 2020</w:t>
      </w:r>
    </w:p>
  </w:footnote>
  <w:footnote w:id="26">
    <w:p w14:paraId="4778E4BE" w14:textId="77777777" w:rsidR="000324FE" w:rsidRPr="00503AE8" w:rsidRDefault="000324FE" w:rsidP="00A96906">
      <w:pPr>
        <w:pStyle w:val="FootnoteText"/>
        <w:spacing w:after="0"/>
        <w:contextualSpacing/>
        <w:rPr>
          <w:lang w:val="en-GB"/>
        </w:rPr>
      </w:pPr>
      <w:r w:rsidRPr="00D440A3">
        <w:rPr>
          <w:rStyle w:val="FootnoteReference"/>
        </w:rPr>
        <w:footnoteRef/>
      </w:r>
      <w:r w:rsidRPr="00503AE8">
        <w:rPr>
          <w:lang w:val="en-GB"/>
        </w:rPr>
        <w:t xml:space="preserve"> Official Gazette RS, No. 59/06</w:t>
      </w:r>
    </w:p>
  </w:footnote>
  <w:footnote w:id="27">
    <w:p w14:paraId="03EC2C43" w14:textId="77777777" w:rsidR="000324FE" w:rsidRPr="00503AE8" w:rsidRDefault="000324FE" w:rsidP="00503AE8">
      <w:pPr>
        <w:pStyle w:val="FootnoteText"/>
        <w:rPr>
          <w:lang w:val="en-GB"/>
        </w:rPr>
      </w:pPr>
      <w:r w:rsidRPr="00E47E0C">
        <w:rPr>
          <w:rStyle w:val="FootnoteReference"/>
        </w:rPr>
        <w:footnoteRef/>
      </w:r>
      <w:r w:rsidRPr="00503AE8">
        <w:rPr>
          <w:lang w:val="en-GB"/>
        </w:rPr>
        <w:t xml:space="preserve"> Official Gazette RS, No. 13/2011</w:t>
      </w:r>
    </w:p>
  </w:footnote>
  <w:footnote w:id="28">
    <w:p w14:paraId="166AB4A6" w14:textId="77777777" w:rsidR="000324FE" w:rsidRPr="00A878F7" w:rsidRDefault="000324FE" w:rsidP="00503AE8">
      <w:pPr>
        <w:pStyle w:val="FootnoteText"/>
        <w:rPr>
          <w:lang w:val="uz-Cyrl-UZ"/>
        </w:rPr>
      </w:pPr>
      <w:r w:rsidRPr="00A878F7">
        <w:rPr>
          <w:rStyle w:val="FootnoteReference"/>
        </w:rPr>
        <w:footnoteRef/>
      </w:r>
      <w:r w:rsidRPr="00503AE8">
        <w:rPr>
          <w:lang w:val="en-GB"/>
        </w:rPr>
        <w:t xml:space="preserve"> https://www.ekologija.gov.rs/predlog-programa-zastite-prirode-za-period-od-2020-do-2022-godine/#more-3029</w:t>
      </w:r>
    </w:p>
  </w:footnote>
  <w:footnote w:id="29">
    <w:p w14:paraId="16A10186" w14:textId="77777777" w:rsidR="000324FE" w:rsidRPr="00503AE8" w:rsidRDefault="000324FE" w:rsidP="00503AE8">
      <w:pPr>
        <w:pStyle w:val="FootnoteText"/>
        <w:rPr>
          <w:lang w:val="en-GB"/>
        </w:rPr>
      </w:pPr>
      <w:r w:rsidRPr="002C3BD4">
        <w:rPr>
          <w:rStyle w:val="FootnoteReference"/>
        </w:rPr>
        <w:footnoteRef/>
      </w:r>
      <w:r w:rsidRPr="00503AE8">
        <w:rPr>
          <w:lang w:val="en-GB"/>
        </w:rPr>
        <w:t xml:space="preserve"> Draft of the Third National Communication of the Republic of Serbia under the UNFCCC – climate change adaptation, 2020</w:t>
      </w:r>
    </w:p>
  </w:footnote>
  <w:footnote w:id="30">
    <w:p w14:paraId="39C43484" w14:textId="77777777" w:rsidR="000324FE" w:rsidRPr="00503AE8" w:rsidRDefault="000324FE" w:rsidP="00503AE8">
      <w:pPr>
        <w:pStyle w:val="FootnoteText"/>
        <w:rPr>
          <w:lang w:val="en-GB"/>
        </w:rPr>
      </w:pPr>
      <w:r w:rsidRPr="00485D81">
        <w:rPr>
          <w:rStyle w:val="FootnoteReference"/>
        </w:rPr>
        <w:footnoteRef/>
      </w:r>
      <w:r w:rsidRPr="00503AE8">
        <w:rPr>
          <w:lang w:val="en-GB"/>
        </w:rPr>
        <w:t xml:space="preserve"> Official Gazette RS, No. 61/18</w:t>
      </w:r>
    </w:p>
  </w:footnote>
  <w:footnote w:id="31">
    <w:p w14:paraId="371F86B1" w14:textId="77777777" w:rsidR="000324FE" w:rsidRPr="00561248" w:rsidRDefault="000324FE" w:rsidP="00503AE8">
      <w:pPr>
        <w:pStyle w:val="FootnoteText"/>
        <w:rPr>
          <w:lang w:val="uz-Cyrl-UZ"/>
        </w:rPr>
      </w:pPr>
      <w:r w:rsidRPr="00561248">
        <w:rPr>
          <w:rStyle w:val="FootnoteReference"/>
        </w:rPr>
        <w:footnoteRef/>
      </w:r>
      <w:r w:rsidRPr="00503AE8">
        <w:rPr>
          <w:lang w:val="en-GB"/>
        </w:rPr>
        <w:t xml:space="preserve"> Official Gazette RS, No. 86/11</w:t>
      </w:r>
    </w:p>
  </w:footnote>
  <w:footnote w:id="32">
    <w:p w14:paraId="4F7F0CDE" w14:textId="77777777" w:rsidR="000324FE" w:rsidRPr="00503AE8" w:rsidRDefault="000324FE" w:rsidP="00503AE8">
      <w:pPr>
        <w:pStyle w:val="FootnoteText"/>
        <w:rPr>
          <w:lang w:val="en-GB"/>
        </w:rPr>
      </w:pPr>
      <w:r w:rsidRPr="00EF197D">
        <w:rPr>
          <w:rStyle w:val="FootnoteReference"/>
        </w:rPr>
        <w:footnoteRef/>
      </w:r>
      <w:r w:rsidRPr="00503AE8">
        <w:rPr>
          <w:lang w:val="en-GB"/>
        </w:rPr>
        <w:t xml:space="preserve"> Official Gazette RS, No. 86/2011</w:t>
      </w:r>
    </w:p>
  </w:footnote>
  <w:footnote w:id="33">
    <w:p w14:paraId="581D6EF3" w14:textId="77777777" w:rsidR="000324FE" w:rsidRPr="00503AE8" w:rsidRDefault="000324FE" w:rsidP="00503AE8">
      <w:pPr>
        <w:pStyle w:val="FootnoteText"/>
        <w:rPr>
          <w:lang w:val="en-GB"/>
        </w:rPr>
      </w:pPr>
      <w:r w:rsidRPr="00EF197D">
        <w:rPr>
          <w:rStyle w:val="FootnoteReference"/>
        </w:rPr>
        <w:footnoteRef/>
      </w:r>
      <w:r w:rsidRPr="00503AE8">
        <w:rPr>
          <w:lang w:val="en-GB"/>
        </w:rPr>
        <w:t xml:space="preserve"> Official Gazette RS, No. 87/2018</w:t>
      </w:r>
    </w:p>
  </w:footnote>
  <w:footnote w:id="34">
    <w:p w14:paraId="7C3632FF" w14:textId="77777777" w:rsidR="000324FE" w:rsidRPr="00503AE8" w:rsidRDefault="000324FE" w:rsidP="00503AE8">
      <w:pPr>
        <w:pStyle w:val="FootnoteText"/>
        <w:rPr>
          <w:lang w:val="en-GB"/>
        </w:rPr>
      </w:pPr>
      <w:r w:rsidRPr="00FC2D9B">
        <w:rPr>
          <w:rStyle w:val="FootnoteReference"/>
        </w:rPr>
        <w:footnoteRef/>
      </w:r>
      <w:r w:rsidRPr="00503AE8">
        <w:rPr>
          <w:lang w:val="en-GB"/>
        </w:rPr>
        <w:t>http://prezentacije.mup.gov.rs/sektorzazastituispasavanje/HTML/licence/Procena%20rizika%20od%20katastrofa%20u%20RS.pdf</w:t>
      </w:r>
    </w:p>
  </w:footnote>
  <w:footnote w:id="35">
    <w:p w14:paraId="464F4EDB" w14:textId="77777777" w:rsidR="000324FE" w:rsidRPr="00503AE8" w:rsidRDefault="000324FE" w:rsidP="00503AE8">
      <w:pPr>
        <w:pStyle w:val="FootnoteText"/>
        <w:rPr>
          <w:lang w:val="en-GB"/>
        </w:rPr>
      </w:pPr>
      <w:r w:rsidRPr="001E622F">
        <w:rPr>
          <w:rStyle w:val="FootnoteReference"/>
        </w:rPr>
        <w:footnoteRef/>
      </w:r>
      <w:r w:rsidRPr="00503AE8">
        <w:rPr>
          <w:lang w:val="en-GB"/>
        </w:rPr>
        <w:t xml:space="preserve"> Official Gazette SFRJ, No. 27/87</w:t>
      </w:r>
    </w:p>
  </w:footnote>
  <w:footnote w:id="36">
    <w:p w14:paraId="7201069C" w14:textId="77777777" w:rsidR="000324FE" w:rsidRPr="00503AE8" w:rsidRDefault="000324FE" w:rsidP="00503AE8">
      <w:pPr>
        <w:pStyle w:val="FootnoteText"/>
        <w:rPr>
          <w:lang w:val="en-GB"/>
        </w:rPr>
      </w:pPr>
      <w:r>
        <w:rPr>
          <w:rStyle w:val="FootnoteReference"/>
        </w:rPr>
        <w:footnoteRef/>
      </w:r>
      <w:r w:rsidRPr="00503AE8">
        <w:rPr>
          <w:lang w:val="en-GB"/>
        </w:rPr>
        <w:t xml:space="preserve"> </w:t>
      </w:r>
      <w:hyperlink r:id="rId9" w:history="1">
        <w:r w:rsidRPr="00BE648A">
          <w:rPr>
            <w:rStyle w:val="Hyperlink"/>
            <w:lang w:val="en-GB"/>
          </w:rPr>
          <w:t>https://apps.fas.usda.gov/newgainapi/api/report/downloadreportbyfilename?filename=Grain%20and%20Feed%20 Annual_Belgrade_Serbia_4-10-2018.pdf</w:t>
        </w:r>
      </w:hyperlink>
      <w:r>
        <w:rPr>
          <w:lang w:val="en-GB"/>
        </w:rPr>
        <w:t xml:space="preserve"> </w:t>
      </w:r>
    </w:p>
  </w:footnote>
  <w:footnote w:id="37">
    <w:p w14:paraId="2C6771CE" w14:textId="77777777" w:rsidR="000324FE" w:rsidRPr="00503AE8" w:rsidRDefault="000324FE" w:rsidP="00A96906">
      <w:pPr>
        <w:pStyle w:val="FootnoteText"/>
        <w:spacing w:after="0"/>
        <w:rPr>
          <w:lang w:val="en-GB"/>
        </w:rPr>
      </w:pPr>
      <w:r w:rsidRPr="00F33138">
        <w:rPr>
          <w:rStyle w:val="FootnoteReference"/>
        </w:rPr>
        <w:footnoteRef/>
      </w:r>
      <w:r w:rsidRPr="00503AE8">
        <w:rPr>
          <w:lang w:val="en-GB"/>
        </w:rPr>
        <w:t xml:space="preserve"> Bozanic D. and Mitrovic </w:t>
      </w:r>
      <w:proofErr w:type="spellStart"/>
      <w:r w:rsidRPr="00503AE8">
        <w:rPr>
          <w:lang w:val="en-GB"/>
        </w:rPr>
        <w:t>Dj</w:t>
      </w:r>
      <w:proofErr w:type="spellEnd"/>
      <w:r w:rsidRPr="00503AE8">
        <w:rPr>
          <w:lang w:val="en-GB"/>
        </w:rPr>
        <w:t xml:space="preserve">, </w:t>
      </w:r>
      <w:r w:rsidRPr="00F33138">
        <w:rPr>
          <w:rFonts w:cstheme="majorHAnsi"/>
          <w:lang w:val="en-GB"/>
        </w:rPr>
        <w:t>The Study on the Socio-economic Aspects of Climate Change in the Republic of Serbia, 2020</w:t>
      </w:r>
    </w:p>
  </w:footnote>
  <w:footnote w:id="38">
    <w:p w14:paraId="1785AB4E" w14:textId="77777777" w:rsidR="000324FE" w:rsidRPr="00503AE8" w:rsidRDefault="000324FE" w:rsidP="00503AE8">
      <w:pPr>
        <w:pStyle w:val="FootnoteText"/>
        <w:rPr>
          <w:lang w:val="en-GB"/>
        </w:rPr>
      </w:pPr>
      <w:r w:rsidRPr="00844FBB">
        <w:rPr>
          <w:rStyle w:val="FootnoteReference"/>
        </w:rPr>
        <w:footnoteRef/>
      </w:r>
      <w:r w:rsidRPr="00503AE8">
        <w:rPr>
          <w:lang w:val="en-GB"/>
        </w:rPr>
        <w:t xml:space="preserve"> Ministry of the Environmental Protection of the Republic of Serbia, Report on the applied methodology and identification of objectives for establishing neutrality of land degradation in the Republic of Serbia,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0324FE" w:rsidRPr="000324FE" w14:paraId="3283B598" w14:textId="77777777" w:rsidTr="00E60897">
      <w:trPr>
        <w:trHeight w:val="1799"/>
      </w:trPr>
      <w:tc>
        <w:tcPr>
          <w:tcW w:w="3018" w:type="dxa"/>
          <w:vAlign w:val="center"/>
        </w:tcPr>
        <w:p w14:paraId="38FC1382" w14:textId="77777777" w:rsidR="000324FE" w:rsidRPr="0073061D" w:rsidRDefault="000324FE" w:rsidP="0073061D">
          <w:pPr>
            <w:rPr>
              <w:rFonts w:cs="Arial"/>
              <w:sz w:val="21"/>
              <w:szCs w:val="21"/>
              <w:lang w:val="en-GB"/>
            </w:rPr>
          </w:pPr>
          <w:r w:rsidRPr="0073061D">
            <w:rPr>
              <w:rFonts w:cs="Arial"/>
              <w:sz w:val="21"/>
              <w:szCs w:val="21"/>
              <w:lang w:val="en-GB"/>
            </w:rPr>
            <w:t>Development of Climate Change Monitoring, Reporting and Verification (MRV) System</w:t>
          </w:r>
        </w:p>
      </w:tc>
      <w:tc>
        <w:tcPr>
          <w:tcW w:w="3019" w:type="dxa"/>
          <w:vAlign w:val="center"/>
        </w:tcPr>
        <w:p w14:paraId="3985383F" w14:textId="77777777" w:rsidR="000324FE" w:rsidRPr="0073061D" w:rsidRDefault="000324FE" w:rsidP="0073061D">
          <w:pPr>
            <w:jc w:val="center"/>
            <w:rPr>
              <w:rFonts w:cs="Arial"/>
            </w:rPr>
          </w:pPr>
          <w:r w:rsidRPr="0073061D">
            <w:rPr>
              <w:rFonts w:cs="Arial"/>
              <w:noProof/>
              <w:lang w:eastAsia="de-AT"/>
            </w:rPr>
            <w:drawing>
              <wp:inline distT="0" distB="0" distL="0" distR="0" wp14:anchorId="0884F498" wp14:editId="6FA8140D">
                <wp:extent cx="351076" cy="416426"/>
                <wp:effectExtent l="0" t="0" r="0" b="3175"/>
                <wp:docPr id="1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81522"/>
                        <a:stretch/>
                      </pic:blipFill>
                      <pic:spPr bwMode="auto">
                        <a:xfrm>
                          <a:off x="0" y="0"/>
                          <a:ext cx="353421" cy="419207"/>
                        </a:xfrm>
                        <a:prstGeom prst="rect">
                          <a:avLst/>
                        </a:prstGeom>
                        <a:ln>
                          <a:noFill/>
                        </a:ln>
                        <a:extLst>
                          <a:ext uri="{53640926-AAD7-44D8-BBD7-CCE9431645EC}">
                            <a14:shadowObscured xmlns:a14="http://schemas.microsoft.com/office/drawing/2010/main"/>
                          </a:ext>
                        </a:extLst>
                      </pic:spPr>
                    </pic:pic>
                  </a:graphicData>
                </a:graphic>
              </wp:inline>
            </w:drawing>
          </w:r>
          <w:r w:rsidRPr="0073061D">
            <w:rPr>
              <w:rFonts w:cs="Arial"/>
              <w:noProof/>
              <w:lang w:eastAsia="de-AT"/>
            </w:rPr>
            <w:drawing>
              <wp:inline distT="0" distB="0" distL="0" distR="0" wp14:anchorId="1E1636B4" wp14:editId="553D5428">
                <wp:extent cx="488340" cy="531495"/>
                <wp:effectExtent l="0" t="0" r="6985" b="1905"/>
                <wp:docPr id="20" name="Grafik 7"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525870" cy="572341"/>
                        </a:xfrm>
                        <a:prstGeom prst="rect">
                          <a:avLst/>
                        </a:prstGeom>
                        <a:ln w="2903" cap="flat">
                          <a:noFill/>
                          <a:prstDash val="solid"/>
                          <a:miter/>
                        </a:ln>
                      </pic:spPr>
                    </pic:pic>
                  </a:graphicData>
                </a:graphic>
              </wp:inline>
            </w:drawing>
          </w:r>
          <w:r w:rsidRPr="0073061D">
            <w:rPr>
              <w:rFonts w:cs="Arial"/>
              <w:noProof/>
              <w:lang w:eastAsia="de-AT"/>
            </w:rPr>
            <w:drawing>
              <wp:inline distT="0" distB="0" distL="0" distR="0" wp14:anchorId="2CD26849" wp14:editId="1EF785A0">
                <wp:extent cx="233257" cy="477118"/>
                <wp:effectExtent l="0" t="0" r="0" b="0"/>
                <wp:docPr id="2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39059" cy="488986"/>
                        </a:xfrm>
                        <a:prstGeom prst="rect">
                          <a:avLst/>
                        </a:prstGeom>
                      </pic:spPr>
                    </pic:pic>
                  </a:graphicData>
                </a:graphic>
              </wp:inline>
            </w:drawing>
          </w:r>
        </w:p>
      </w:tc>
      <w:tc>
        <w:tcPr>
          <w:tcW w:w="3019" w:type="dxa"/>
          <w:vAlign w:val="center"/>
        </w:tcPr>
        <w:p w14:paraId="46CB9071" w14:textId="77777777" w:rsidR="000324FE" w:rsidRPr="00C178CB" w:rsidRDefault="000324FE" w:rsidP="00C178CB">
          <w:pPr>
            <w:jc w:val="right"/>
            <w:rPr>
              <w:rFonts w:cs="Arial"/>
              <w:b/>
              <w:bCs/>
              <w:sz w:val="21"/>
              <w:szCs w:val="21"/>
              <w:lang w:val="en-GB"/>
            </w:rPr>
          </w:pPr>
          <w:r w:rsidRPr="00C178CB">
            <w:rPr>
              <w:rFonts w:cs="Arial"/>
              <w:b/>
              <w:bCs/>
              <w:sz w:val="21"/>
              <w:szCs w:val="21"/>
              <w:lang w:val="en-GB"/>
            </w:rPr>
            <w:t xml:space="preserve">DELIVERABLE </w:t>
          </w:r>
          <w:r>
            <w:rPr>
              <w:rFonts w:cs="Arial"/>
              <w:b/>
              <w:bCs/>
              <w:sz w:val="21"/>
              <w:szCs w:val="21"/>
              <w:lang w:val="en-GB"/>
            </w:rPr>
            <w:t>2</w:t>
          </w:r>
        </w:p>
        <w:p w14:paraId="0A712ACD" w14:textId="77777777" w:rsidR="000324FE" w:rsidRPr="00742051" w:rsidRDefault="000324FE" w:rsidP="00EC1933">
          <w:pPr>
            <w:jc w:val="right"/>
            <w:rPr>
              <w:rFonts w:cs="Arial"/>
              <w:b/>
              <w:bCs/>
              <w:sz w:val="21"/>
              <w:szCs w:val="21"/>
              <w:lang w:val="en-GB"/>
            </w:rPr>
          </w:pPr>
          <w:r w:rsidRPr="00EC1933">
            <w:rPr>
              <w:rFonts w:cs="Arial"/>
              <w:b/>
              <w:bCs/>
              <w:sz w:val="21"/>
              <w:szCs w:val="21"/>
              <w:lang w:val="en-GB"/>
            </w:rPr>
            <w:t>Comprehensive document of revised NDCs</w:t>
          </w:r>
          <w:r>
            <w:rPr>
              <w:rFonts w:cs="Arial"/>
              <w:b/>
              <w:bCs/>
              <w:sz w:val="21"/>
              <w:szCs w:val="21"/>
              <w:lang w:val="en-GB"/>
            </w:rPr>
            <w:t xml:space="preserve"> for the Republic of Serbia</w:t>
          </w:r>
        </w:p>
      </w:tc>
    </w:tr>
  </w:tbl>
  <w:p w14:paraId="01DA47C3" w14:textId="77777777" w:rsidR="000324FE" w:rsidRPr="00C178CB" w:rsidRDefault="000324FE">
    <w:pPr>
      <w:pStyle w:val="Header"/>
      <w:rPr>
        <w:lang w:val="en-GB"/>
      </w:rPr>
    </w:pPr>
  </w:p>
  <w:p w14:paraId="2DFFB884" w14:textId="77777777" w:rsidR="000324FE" w:rsidRPr="00503AE8" w:rsidRDefault="000324FE">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423E" w14:textId="77777777" w:rsidR="000324FE" w:rsidRDefault="000324FE" w:rsidP="009E30E2">
    <w:pPr>
      <w:pStyle w:val="Header"/>
      <w:spacing w:befor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7E37" w14:textId="77777777" w:rsidR="000324FE" w:rsidRPr="00217714" w:rsidRDefault="000324FE" w:rsidP="00503AE8">
    <w:pPr>
      <w:pStyle w:val="Header"/>
      <w:pBdr>
        <w:bottom w:val="single" w:sz="4" w:space="1" w:color="auto"/>
      </w:pBdr>
      <w:spacing w:after="240"/>
      <w:rPr>
        <w:rFonts w:cstheme="minorHAnsi"/>
        <w:b/>
        <w:szCs w:val="18"/>
        <w:lang w:val="en-GB"/>
      </w:rPr>
    </w:pPr>
    <w:r w:rsidRPr="00217714">
      <w:rPr>
        <w:rFonts w:cstheme="minorHAnsi"/>
        <w:b/>
        <w:sz w:val="16"/>
        <w:szCs w:val="18"/>
        <w:lang w:val="en-GB"/>
      </w:rPr>
      <w:t>Serbia's Nationally Determined Contribution (NDC) for the period 2021 – 2030, updated in 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BF46" w14:textId="77777777" w:rsidR="000324FE" w:rsidRPr="003B0171" w:rsidRDefault="000324FE" w:rsidP="003B0171">
    <w:pPr>
      <w:pStyle w:val="Header"/>
      <w:pBdr>
        <w:bottom w:val="single" w:sz="4" w:space="1" w:color="auto"/>
      </w:pBdr>
      <w:spacing w:after="240"/>
      <w:rPr>
        <w:rFonts w:cstheme="minorHAnsi"/>
        <w:b/>
        <w:szCs w:val="18"/>
        <w:lang w:val="en-GB"/>
      </w:rPr>
    </w:pPr>
    <w:r w:rsidRPr="00217714">
      <w:rPr>
        <w:rFonts w:cstheme="minorHAnsi"/>
        <w:b/>
        <w:sz w:val="16"/>
        <w:szCs w:val="18"/>
        <w:lang w:val="en-GB"/>
      </w:rPr>
      <w:t>Serbia's Nationally Determined Contribution (NDC) for the period 2021 – 2030, updated in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CC4"/>
    <w:multiLevelType w:val="hybridMultilevel"/>
    <w:tmpl w:val="4C8E34C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C73FD"/>
    <w:multiLevelType w:val="hybridMultilevel"/>
    <w:tmpl w:val="71DC7B84"/>
    <w:lvl w:ilvl="0" w:tplc="DF6A5FC8">
      <w:start w:val="1"/>
      <w:numFmt w:val="bullet"/>
      <w:lvlText w:val=""/>
      <w:lvlJc w:val="left"/>
      <w:pPr>
        <w:ind w:left="360" w:hanging="360"/>
      </w:pPr>
      <w:rPr>
        <w:rFonts w:ascii="Symbol" w:hAnsi="Symbol" w:hint="default"/>
        <w:lang w:val="en-US"/>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F513BCC"/>
    <w:multiLevelType w:val="hybridMultilevel"/>
    <w:tmpl w:val="96C202B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0C747A7"/>
    <w:multiLevelType w:val="hybridMultilevel"/>
    <w:tmpl w:val="7E3AE32E"/>
    <w:lvl w:ilvl="0" w:tplc="B6661A34">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34E3E50"/>
    <w:multiLevelType w:val="hybridMultilevel"/>
    <w:tmpl w:val="BF023FFE"/>
    <w:lvl w:ilvl="0" w:tplc="42181338">
      <w:start w:val="1"/>
      <w:numFmt w:val="lowerRoman"/>
      <w:lvlText w:val="(%1)"/>
      <w:lvlJc w:val="left"/>
      <w:pPr>
        <w:ind w:left="709" w:hanging="567"/>
      </w:pPr>
      <w:rPr>
        <w:rFonts w:ascii="Times New Roman" w:eastAsia="Times New Roman" w:hAnsi="Times New Roman" w:cs="Times New Roman" w:hint="default"/>
        <w:w w:val="99"/>
        <w:sz w:val="20"/>
        <w:szCs w:val="20"/>
        <w:lang w:val="en-US" w:eastAsia="en-US" w:bidi="en-US"/>
      </w:rPr>
    </w:lvl>
    <w:lvl w:ilvl="1" w:tplc="B28AEC96">
      <w:start w:val="1"/>
      <w:numFmt w:val="lowerLetter"/>
      <w:lvlText w:val="%2."/>
      <w:lvlJc w:val="left"/>
      <w:pPr>
        <w:ind w:left="1276" w:hanging="567"/>
      </w:pPr>
      <w:rPr>
        <w:rFonts w:ascii="Times New Roman" w:eastAsia="Times New Roman" w:hAnsi="Times New Roman" w:cs="Times New Roman" w:hint="default"/>
        <w:w w:val="99"/>
        <w:sz w:val="20"/>
        <w:szCs w:val="20"/>
        <w:lang w:val="en-US" w:eastAsia="en-US" w:bidi="en-US"/>
      </w:rPr>
    </w:lvl>
    <w:lvl w:ilvl="2" w:tplc="F96A11E8">
      <w:numFmt w:val="bullet"/>
      <w:lvlText w:val="•"/>
      <w:lvlJc w:val="left"/>
      <w:pPr>
        <w:ind w:left="2111" w:hanging="567"/>
      </w:pPr>
      <w:rPr>
        <w:rFonts w:hint="default"/>
        <w:lang w:val="en-US" w:eastAsia="en-US" w:bidi="en-US"/>
      </w:rPr>
    </w:lvl>
    <w:lvl w:ilvl="3" w:tplc="6666D554">
      <w:numFmt w:val="bullet"/>
      <w:lvlText w:val="•"/>
      <w:lvlJc w:val="left"/>
      <w:pPr>
        <w:ind w:left="2947" w:hanging="567"/>
      </w:pPr>
      <w:rPr>
        <w:rFonts w:hint="default"/>
        <w:lang w:val="en-US" w:eastAsia="en-US" w:bidi="en-US"/>
      </w:rPr>
    </w:lvl>
    <w:lvl w:ilvl="4" w:tplc="96060540">
      <w:numFmt w:val="bullet"/>
      <w:lvlText w:val="•"/>
      <w:lvlJc w:val="left"/>
      <w:pPr>
        <w:ind w:left="3783" w:hanging="567"/>
      </w:pPr>
      <w:rPr>
        <w:rFonts w:hint="default"/>
        <w:lang w:val="en-US" w:eastAsia="en-US" w:bidi="en-US"/>
      </w:rPr>
    </w:lvl>
    <w:lvl w:ilvl="5" w:tplc="EB74516C">
      <w:numFmt w:val="bullet"/>
      <w:lvlText w:val="•"/>
      <w:lvlJc w:val="left"/>
      <w:pPr>
        <w:ind w:left="4620" w:hanging="567"/>
      </w:pPr>
      <w:rPr>
        <w:rFonts w:hint="default"/>
        <w:lang w:val="en-US" w:eastAsia="en-US" w:bidi="en-US"/>
      </w:rPr>
    </w:lvl>
    <w:lvl w:ilvl="6" w:tplc="F7A623DA">
      <w:numFmt w:val="bullet"/>
      <w:lvlText w:val="•"/>
      <w:lvlJc w:val="left"/>
      <w:pPr>
        <w:ind w:left="5456" w:hanging="567"/>
      </w:pPr>
      <w:rPr>
        <w:rFonts w:hint="default"/>
        <w:lang w:val="en-US" w:eastAsia="en-US" w:bidi="en-US"/>
      </w:rPr>
    </w:lvl>
    <w:lvl w:ilvl="7" w:tplc="B7549CE6">
      <w:numFmt w:val="bullet"/>
      <w:lvlText w:val="•"/>
      <w:lvlJc w:val="left"/>
      <w:pPr>
        <w:ind w:left="6292" w:hanging="567"/>
      </w:pPr>
      <w:rPr>
        <w:rFonts w:hint="default"/>
        <w:lang w:val="en-US" w:eastAsia="en-US" w:bidi="en-US"/>
      </w:rPr>
    </w:lvl>
    <w:lvl w:ilvl="8" w:tplc="CFDE0330">
      <w:numFmt w:val="bullet"/>
      <w:lvlText w:val="•"/>
      <w:lvlJc w:val="left"/>
      <w:pPr>
        <w:ind w:left="7128" w:hanging="567"/>
      </w:pPr>
      <w:rPr>
        <w:rFonts w:hint="default"/>
        <w:lang w:val="en-US" w:eastAsia="en-US" w:bidi="en-US"/>
      </w:rPr>
    </w:lvl>
  </w:abstractNum>
  <w:abstractNum w:abstractNumId="5" w15:restartNumberingAfterBreak="0">
    <w:nsid w:val="151C03C6"/>
    <w:multiLevelType w:val="hybridMultilevel"/>
    <w:tmpl w:val="BF023FFE"/>
    <w:lvl w:ilvl="0" w:tplc="42181338">
      <w:start w:val="1"/>
      <w:numFmt w:val="lowerRoman"/>
      <w:lvlText w:val="(%1)"/>
      <w:lvlJc w:val="left"/>
      <w:pPr>
        <w:ind w:left="709" w:hanging="567"/>
      </w:pPr>
      <w:rPr>
        <w:rFonts w:ascii="Times New Roman" w:eastAsia="Times New Roman" w:hAnsi="Times New Roman" w:cs="Times New Roman" w:hint="default"/>
        <w:w w:val="99"/>
        <w:sz w:val="20"/>
        <w:szCs w:val="20"/>
        <w:lang w:val="en-US" w:eastAsia="en-US" w:bidi="en-US"/>
      </w:rPr>
    </w:lvl>
    <w:lvl w:ilvl="1" w:tplc="B28AEC96">
      <w:start w:val="1"/>
      <w:numFmt w:val="lowerLetter"/>
      <w:lvlText w:val="%2."/>
      <w:lvlJc w:val="left"/>
      <w:pPr>
        <w:ind w:left="1276" w:hanging="567"/>
      </w:pPr>
      <w:rPr>
        <w:rFonts w:ascii="Times New Roman" w:eastAsia="Times New Roman" w:hAnsi="Times New Roman" w:cs="Times New Roman" w:hint="default"/>
        <w:w w:val="99"/>
        <w:sz w:val="20"/>
        <w:szCs w:val="20"/>
        <w:lang w:val="en-US" w:eastAsia="en-US" w:bidi="en-US"/>
      </w:rPr>
    </w:lvl>
    <w:lvl w:ilvl="2" w:tplc="F96A11E8">
      <w:numFmt w:val="bullet"/>
      <w:lvlText w:val="•"/>
      <w:lvlJc w:val="left"/>
      <w:pPr>
        <w:ind w:left="2111" w:hanging="567"/>
      </w:pPr>
      <w:rPr>
        <w:rFonts w:hint="default"/>
        <w:lang w:val="en-US" w:eastAsia="en-US" w:bidi="en-US"/>
      </w:rPr>
    </w:lvl>
    <w:lvl w:ilvl="3" w:tplc="6666D554">
      <w:numFmt w:val="bullet"/>
      <w:lvlText w:val="•"/>
      <w:lvlJc w:val="left"/>
      <w:pPr>
        <w:ind w:left="2947" w:hanging="567"/>
      </w:pPr>
      <w:rPr>
        <w:rFonts w:hint="default"/>
        <w:lang w:val="en-US" w:eastAsia="en-US" w:bidi="en-US"/>
      </w:rPr>
    </w:lvl>
    <w:lvl w:ilvl="4" w:tplc="96060540">
      <w:numFmt w:val="bullet"/>
      <w:lvlText w:val="•"/>
      <w:lvlJc w:val="left"/>
      <w:pPr>
        <w:ind w:left="3783" w:hanging="567"/>
      </w:pPr>
      <w:rPr>
        <w:rFonts w:hint="default"/>
        <w:lang w:val="en-US" w:eastAsia="en-US" w:bidi="en-US"/>
      </w:rPr>
    </w:lvl>
    <w:lvl w:ilvl="5" w:tplc="EB74516C">
      <w:numFmt w:val="bullet"/>
      <w:lvlText w:val="•"/>
      <w:lvlJc w:val="left"/>
      <w:pPr>
        <w:ind w:left="4620" w:hanging="567"/>
      </w:pPr>
      <w:rPr>
        <w:rFonts w:hint="default"/>
        <w:lang w:val="en-US" w:eastAsia="en-US" w:bidi="en-US"/>
      </w:rPr>
    </w:lvl>
    <w:lvl w:ilvl="6" w:tplc="F7A623DA">
      <w:numFmt w:val="bullet"/>
      <w:lvlText w:val="•"/>
      <w:lvlJc w:val="left"/>
      <w:pPr>
        <w:ind w:left="5456" w:hanging="567"/>
      </w:pPr>
      <w:rPr>
        <w:rFonts w:hint="default"/>
        <w:lang w:val="en-US" w:eastAsia="en-US" w:bidi="en-US"/>
      </w:rPr>
    </w:lvl>
    <w:lvl w:ilvl="7" w:tplc="B7549CE6">
      <w:numFmt w:val="bullet"/>
      <w:lvlText w:val="•"/>
      <w:lvlJc w:val="left"/>
      <w:pPr>
        <w:ind w:left="6292" w:hanging="567"/>
      </w:pPr>
      <w:rPr>
        <w:rFonts w:hint="default"/>
        <w:lang w:val="en-US" w:eastAsia="en-US" w:bidi="en-US"/>
      </w:rPr>
    </w:lvl>
    <w:lvl w:ilvl="8" w:tplc="CFDE0330">
      <w:numFmt w:val="bullet"/>
      <w:lvlText w:val="•"/>
      <w:lvlJc w:val="left"/>
      <w:pPr>
        <w:ind w:left="7128" w:hanging="567"/>
      </w:pPr>
      <w:rPr>
        <w:rFonts w:hint="default"/>
        <w:lang w:val="en-US" w:eastAsia="en-US" w:bidi="en-US"/>
      </w:rPr>
    </w:lvl>
  </w:abstractNum>
  <w:abstractNum w:abstractNumId="6" w15:restartNumberingAfterBreak="0">
    <w:nsid w:val="1EDE6576"/>
    <w:multiLevelType w:val="hybridMultilevel"/>
    <w:tmpl w:val="557AB722"/>
    <w:lvl w:ilvl="0" w:tplc="0C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C4DE0"/>
    <w:multiLevelType w:val="hybridMultilevel"/>
    <w:tmpl w:val="BAE207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361030C"/>
    <w:multiLevelType w:val="hybridMultilevel"/>
    <w:tmpl w:val="232EFD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B1FAD"/>
    <w:multiLevelType w:val="hybridMultilevel"/>
    <w:tmpl w:val="B63818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A0D4B"/>
    <w:multiLevelType w:val="hybridMultilevel"/>
    <w:tmpl w:val="94529186"/>
    <w:lvl w:ilvl="0" w:tplc="5D9A6860">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15:restartNumberingAfterBreak="0">
    <w:nsid w:val="318F0616"/>
    <w:multiLevelType w:val="hybridMultilevel"/>
    <w:tmpl w:val="6172C830"/>
    <w:lvl w:ilvl="0" w:tplc="241A0003">
      <w:start w:val="1"/>
      <w:numFmt w:val="bullet"/>
      <w:lvlText w:val="o"/>
      <w:lvlJc w:val="left"/>
      <w:pPr>
        <w:ind w:left="680" w:hanging="360"/>
      </w:pPr>
      <w:rPr>
        <w:rFonts w:ascii="Courier New" w:hAnsi="Courier New" w:cs="Courier New" w:hint="default"/>
      </w:rPr>
    </w:lvl>
    <w:lvl w:ilvl="1" w:tplc="241A0003">
      <w:start w:val="1"/>
      <w:numFmt w:val="bullet"/>
      <w:lvlText w:val="o"/>
      <w:lvlJc w:val="left"/>
      <w:pPr>
        <w:ind w:left="1400" w:hanging="360"/>
      </w:pPr>
      <w:rPr>
        <w:rFonts w:ascii="Courier New" w:hAnsi="Courier New" w:cs="Courier New" w:hint="default"/>
      </w:rPr>
    </w:lvl>
    <w:lvl w:ilvl="2" w:tplc="241A0005">
      <w:start w:val="1"/>
      <w:numFmt w:val="bullet"/>
      <w:lvlText w:val=""/>
      <w:lvlJc w:val="left"/>
      <w:pPr>
        <w:ind w:left="2120" w:hanging="360"/>
      </w:pPr>
      <w:rPr>
        <w:rFonts w:ascii="Wingdings" w:hAnsi="Wingdings" w:hint="default"/>
      </w:rPr>
    </w:lvl>
    <w:lvl w:ilvl="3" w:tplc="241A0001">
      <w:start w:val="1"/>
      <w:numFmt w:val="bullet"/>
      <w:lvlText w:val=""/>
      <w:lvlJc w:val="left"/>
      <w:pPr>
        <w:ind w:left="2840" w:hanging="360"/>
      </w:pPr>
      <w:rPr>
        <w:rFonts w:ascii="Symbol" w:hAnsi="Symbol" w:hint="default"/>
      </w:rPr>
    </w:lvl>
    <w:lvl w:ilvl="4" w:tplc="241A0003">
      <w:start w:val="1"/>
      <w:numFmt w:val="bullet"/>
      <w:lvlText w:val="o"/>
      <w:lvlJc w:val="left"/>
      <w:pPr>
        <w:ind w:left="3560" w:hanging="360"/>
      </w:pPr>
      <w:rPr>
        <w:rFonts w:ascii="Courier New" w:hAnsi="Courier New" w:cs="Courier New" w:hint="default"/>
      </w:rPr>
    </w:lvl>
    <w:lvl w:ilvl="5" w:tplc="241A0005">
      <w:start w:val="1"/>
      <w:numFmt w:val="bullet"/>
      <w:lvlText w:val=""/>
      <w:lvlJc w:val="left"/>
      <w:pPr>
        <w:ind w:left="4280" w:hanging="360"/>
      </w:pPr>
      <w:rPr>
        <w:rFonts w:ascii="Wingdings" w:hAnsi="Wingdings" w:hint="default"/>
      </w:rPr>
    </w:lvl>
    <w:lvl w:ilvl="6" w:tplc="241A0001">
      <w:start w:val="1"/>
      <w:numFmt w:val="bullet"/>
      <w:lvlText w:val=""/>
      <w:lvlJc w:val="left"/>
      <w:pPr>
        <w:ind w:left="5000" w:hanging="360"/>
      </w:pPr>
      <w:rPr>
        <w:rFonts w:ascii="Symbol" w:hAnsi="Symbol" w:hint="default"/>
      </w:rPr>
    </w:lvl>
    <w:lvl w:ilvl="7" w:tplc="241A0003">
      <w:start w:val="1"/>
      <w:numFmt w:val="bullet"/>
      <w:lvlText w:val="o"/>
      <w:lvlJc w:val="left"/>
      <w:pPr>
        <w:ind w:left="5720" w:hanging="360"/>
      </w:pPr>
      <w:rPr>
        <w:rFonts w:ascii="Courier New" w:hAnsi="Courier New" w:cs="Courier New" w:hint="default"/>
      </w:rPr>
    </w:lvl>
    <w:lvl w:ilvl="8" w:tplc="241A0005">
      <w:start w:val="1"/>
      <w:numFmt w:val="bullet"/>
      <w:lvlText w:val=""/>
      <w:lvlJc w:val="left"/>
      <w:pPr>
        <w:ind w:left="6440" w:hanging="360"/>
      </w:pPr>
      <w:rPr>
        <w:rFonts w:ascii="Wingdings" w:hAnsi="Wingdings" w:hint="default"/>
      </w:rPr>
    </w:lvl>
  </w:abstractNum>
  <w:abstractNum w:abstractNumId="12" w15:restartNumberingAfterBreak="0">
    <w:nsid w:val="381D68C7"/>
    <w:multiLevelType w:val="multilevel"/>
    <w:tmpl w:val="E2D6D84E"/>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2.%2.%3"/>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176035A"/>
    <w:multiLevelType w:val="multilevel"/>
    <w:tmpl w:val="BDE4503E"/>
    <w:lvl w:ilvl="0">
      <w:start w:val="1"/>
      <w:numFmt w:val="decimal"/>
      <w:pStyle w:val="Heading1"/>
      <w:lvlText w:val="%1"/>
      <w:lvlJc w:val="left"/>
      <w:pPr>
        <w:ind w:left="432" w:hanging="432"/>
      </w:pPr>
      <w:rPr>
        <w:rFonts w:hint="default"/>
      </w:rPr>
    </w:lvl>
    <w:lvl w:ilvl="1">
      <w:start w:val="1"/>
      <w:numFmt w:val="decimal"/>
      <w:pStyle w:val="Heading2"/>
      <w:lvlText w:val="2.%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3345163"/>
    <w:multiLevelType w:val="hybridMultilevel"/>
    <w:tmpl w:val="0276D2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FC6C69"/>
    <w:multiLevelType w:val="hybridMultilevel"/>
    <w:tmpl w:val="7372425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475127A4"/>
    <w:multiLevelType w:val="hybridMultilevel"/>
    <w:tmpl w:val="BF023FFE"/>
    <w:lvl w:ilvl="0" w:tplc="42181338">
      <w:start w:val="1"/>
      <w:numFmt w:val="lowerRoman"/>
      <w:lvlText w:val="(%1)"/>
      <w:lvlJc w:val="left"/>
      <w:pPr>
        <w:ind w:left="709" w:hanging="567"/>
      </w:pPr>
      <w:rPr>
        <w:rFonts w:ascii="Times New Roman" w:eastAsia="Times New Roman" w:hAnsi="Times New Roman" w:cs="Times New Roman" w:hint="default"/>
        <w:w w:val="99"/>
        <w:sz w:val="20"/>
        <w:szCs w:val="20"/>
        <w:lang w:val="en-US" w:eastAsia="en-US" w:bidi="en-US"/>
      </w:rPr>
    </w:lvl>
    <w:lvl w:ilvl="1" w:tplc="B28AEC96">
      <w:start w:val="1"/>
      <w:numFmt w:val="lowerLetter"/>
      <w:lvlText w:val="%2."/>
      <w:lvlJc w:val="left"/>
      <w:pPr>
        <w:ind w:left="1276" w:hanging="567"/>
      </w:pPr>
      <w:rPr>
        <w:rFonts w:ascii="Times New Roman" w:eastAsia="Times New Roman" w:hAnsi="Times New Roman" w:cs="Times New Roman" w:hint="default"/>
        <w:w w:val="99"/>
        <w:sz w:val="20"/>
        <w:szCs w:val="20"/>
        <w:lang w:val="en-US" w:eastAsia="en-US" w:bidi="en-US"/>
      </w:rPr>
    </w:lvl>
    <w:lvl w:ilvl="2" w:tplc="F96A11E8">
      <w:numFmt w:val="bullet"/>
      <w:lvlText w:val="•"/>
      <w:lvlJc w:val="left"/>
      <w:pPr>
        <w:ind w:left="2111" w:hanging="567"/>
      </w:pPr>
      <w:rPr>
        <w:rFonts w:hint="default"/>
        <w:lang w:val="en-US" w:eastAsia="en-US" w:bidi="en-US"/>
      </w:rPr>
    </w:lvl>
    <w:lvl w:ilvl="3" w:tplc="6666D554">
      <w:numFmt w:val="bullet"/>
      <w:lvlText w:val="•"/>
      <w:lvlJc w:val="left"/>
      <w:pPr>
        <w:ind w:left="2947" w:hanging="567"/>
      </w:pPr>
      <w:rPr>
        <w:rFonts w:hint="default"/>
        <w:lang w:val="en-US" w:eastAsia="en-US" w:bidi="en-US"/>
      </w:rPr>
    </w:lvl>
    <w:lvl w:ilvl="4" w:tplc="96060540">
      <w:numFmt w:val="bullet"/>
      <w:lvlText w:val="•"/>
      <w:lvlJc w:val="left"/>
      <w:pPr>
        <w:ind w:left="3783" w:hanging="567"/>
      </w:pPr>
      <w:rPr>
        <w:rFonts w:hint="default"/>
        <w:lang w:val="en-US" w:eastAsia="en-US" w:bidi="en-US"/>
      </w:rPr>
    </w:lvl>
    <w:lvl w:ilvl="5" w:tplc="EB74516C">
      <w:numFmt w:val="bullet"/>
      <w:lvlText w:val="•"/>
      <w:lvlJc w:val="left"/>
      <w:pPr>
        <w:ind w:left="4620" w:hanging="567"/>
      </w:pPr>
      <w:rPr>
        <w:rFonts w:hint="default"/>
        <w:lang w:val="en-US" w:eastAsia="en-US" w:bidi="en-US"/>
      </w:rPr>
    </w:lvl>
    <w:lvl w:ilvl="6" w:tplc="F7A623DA">
      <w:numFmt w:val="bullet"/>
      <w:lvlText w:val="•"/>
      <w:lvlJc w:val="left"/>
      <w:pPr>
        <w:ind w:left="5456" w:hanging="567"/>
      </w:pPr>
      <w:rPr>
        <w:rFonts w:hint="default"/>
        <w:lang w:val="en-US" w:eastAsia="en-US" w:bidi="en-US"/>
      </w:rPr>
    </w:lvl>
    <w:lvl w:ilvl="7" w:tplc="B7549CE6">
      <w:numFmt w:val="bullet"/>
      <w:lvlText w:val="•"/>
      <w:lvlJc w:val="left"/>
      <w:pPr>
        <w:ind w:left="6292" w:hanging="567"/>
      </w:pPr>
      <w:rPr>
        <w:rFonts w:hint="default"/>
        <w:lang w:val="en-US" w:eastAsia="en-US" w:bidi="en-US"/>
      </w:rPr>
    </w:lvl>
    <w:lvl w:ilvl="8" w:tplc="CFDE0330">
      <w:numFmt w:val="bullet"/>
      <w:lvlText w:val="•"/>
      <w:lvlJc w:val="left"/>
      <w:pPr>
        <w:ind w:left="7128" w:hanging="567"/>
      </w:pPr>
      <w:rPr>
        <w:rFonts w:hint="default"/>
        <w:lang w:val="en-US" w:eastAsia="en-US" w:bidi="en-US"/>
      </w:rPr>
    </w:lvl>
  </w:abstractNum>
  <w:abstractNum w:abstractNumId="17" w15:restartNumberingAfterBreak="0">
    <w:nsid w:val="47537CF0"/>
    <w:multiLevelType w:val="hybridMultilevel"/>
    <w:tmpl w:val="8BCCB9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838428D"/>
    <w:multiLevelType w:val="hybridMultilevel"/>
    <w:tmpl w:val="1EA03554"/>
    <w:lvl w:ilvl="0" w:tplc="3DBA928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05F20B5"/>
    <w:multiLevelType w:val="hybridMultilevel"/>
    <w:tmpl w:val="0F76753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52B667B2"/>
    <w:multiLevelType w:val="hybridMultilevel"/>
    <w:tmpl w:val="BF023FFE"/>
    <w:lvl w:ilvl="0" w:tplc="42181338">
      <w:start w:val="1"/>
      <w:numFmt w:val="lowerRoman"/>
      <w:lvlText w:val="(%1)"/>
      <w:lvlJc w:val="left"/>
      <w:pPr>
        <w:ind w:left="709" w:hanging="567"/>
      </w:pPr>
      <w:rPr>
        <w:rFonts w:ascii="Times New Roman" w:eastAsia="Times New Roman" w:hAnsi="Times New Roman" w:cs="Times New Roman" w:hint="default"/>
        <w:w w:val="99"/>
        <w:sz w:val="20"/>
        <w:szCs w:val="20"/>
        <w:lang w:val="en-US" w:eastAsia="en-US" w:bidi="en-US"/>
      </w:rPr>
    </w:lvl>
    <w:lvl w:ilvl="1" w:tplc="B28AEC96">
      <w:start w:val="1"/>
      <w:numFmt w:val="lowerLetter"/>
      <w:lvlText w:val="%2."/>
      <w:lvlJc w:val="left"/>
      <w:pPr>
        <w:ind w:left="1276" w:hanging="567"/>
      </w:pPr>
      <w:rPr>
        <w:rFonts w:ascii="Times New Roman" w:eastAsia="Times New Roman" w:hAnsi="Times New Roman" w:cs="Times New Roman" w:hint="default"/>
        <w:w w:val="99"/>
        <w:sz w:val="20"/>
        <w:szCs w:val="20"/>
        <w:lang w:val="en-US" w:eastAsia="en-US" w:bidi="en-US"/>
      </w:rPr>
    </w:lvl>
    <w:lvl w:ilvl="2" w:tplc="F96A11E8">
      <w:numFmt w:val="bullet"/>
      <w:lvlText w:val="•"/>
      <w:lvlJc w:val="left"/>
      <w:pPr>
        <w:ind w:left="2111" w:hanging="567"/>
      </w:pPr>
      <w:rPr>
        <w:rFonts w:hint="default"/>
        <w:lang w:val="en-US" w:eastAsia="en-US" w:bidi="en-US"/>
      </w:rPr>
    </w:lvl>
    <w:lvl w:ilvl="3" w:tplc="6666D554">
      <w:numFmt w:val="bullet"/>
      <w:lvlText w:val="•"/>
      <w:lvlJc w:val="left"/>
      <w:pPr>
        <w:ind w:left="2947" w:hanging="567"/>
      </w:pPr>
      <w:rPr>
        <w:rFonts w:hint="default"/>
        <w:lang w:val="en-US" w:eastAsia="en-US" w:bidi="en-US"/>
      </w:rPr>
    </w:lvl>
    <w:lvl w:ilvl="4" w:tplc="96060540">
      <w:numFmt w:val="bullet"/>
      <w:lvlText w:val="•"/>
      <w:lvlJc w:val="left"/>
      <w:pPr>
        <w:ind w:left="3783" w:hanging="567"/>
      </w:pPr>
      <w:rPr>
        <w:rFonts w:hint="default"/>
        <w:lang w:val="en-US" w:eastAsia="en-US" w:bidi="en-US"/>
      </w:rPr>
    </w:lvl>
    <w:lvl w:ilvl="5" w:tplc="EB74516C">
      <w:numFmt w:val="bullet"/>
      <w:lvlText w:val="•"/>
      <w:lvlJc w:val="left"/>
      <w:pPr>
        <w:ind w:left="4620" w:hanging="567"/>
      </w:pPr>
      <w:rPr>
        <w:rFonts w:hint="default"/>
        <w:lang w:val="en-US" w:eastAsia="en-US" w:bidi="en-US"/>
      </w:rPr>
    </w:lvl>
    <w:lvl w:ilvl="6" w:tplc="F7A623DA">
      <w:numFmt w:val="bullet"/>
      <w:lvlText w:val="•"/>
      <w:lvlJc w:val="left"/>
      <w:pPr>
        <w:ind w:left="5456" w:hanging="567"/>
      </w:pPr>
      <w:rPr>
        <w:rFonts w:hint="default"/>
        <w:lang w:val="en-US" w:eastAsia="en-US" w:bidi="en-US"/>
      </w:rPr>
    </w:lvl>
    <w:lvl w:ilvl="7" w:tplc="B7549CE6">
      <w:numFmt w:val="bullet"/>
      <w:lvlText w:val="•"/>
      <w:lvlJc w:val="left"/>
      <w:pPr>
        <w:ind w:left="6292" w:hanging="567"/>
      </w:pPr>
      <w:rPr>
        <w:rFonts w:hint="default"/>
        <w:lang w:val="en-US" w:eastAsia="en-US" w:bidi="en-US"/>
      </w:rPr>
    </w:lvl>
    <w:lvl w:ilvl="8" w:tplc="CFDE0330">
      <w:numFmt w:val="bullet"/>
      <w:lvlText w:val="•"/>
      <w:lvlJc w:val="left"/>
      <w:pPr>
        <w:ind w:left="7128" w:hanging="567"/>
      </w:pPr>
      <w:rPr>
        <w:rFonts w:hint="default"/>
        <w:lang w:val="en-US" w:eastAsia="en-US" w:bidi="en-US"/>
      </w:rPr>
    </w:lvl>
  </w:abstractNum>
  <w:abstractNum w:abstractNumId="21" w15:restartNumberingAfterBreak="0">
    <w:nsid w:val="531D34B0"/>
    <w:multiLevelType w:val="hybridMultilevel"/>
    <w:tmpl w:val="E9D093B6"/>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22" w15:restartNumberingAfterBreak="0">
    <w:nsid w:val="5321732A"/>
    <w:multiLevelType w:val="hybridMultilevel"/>
    <w:tmpl w:val="D1BE039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577B602E"/>
    <w:multiLevelType w:val="hybridMultilevel"/>
    <w:tmpl w:val="3C842634"/>
    <w:lvl w:ilvl="0" w:tplc="9E72146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939317C"/>
    <w:multiLevelType w:val="hybridMultilevel"/>
    <w:tmpl w:val="4BFA05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594329C9"/>
    <w:multiLevelType w:val="multilevel"/>
    <w:tmpl w:val="E2D6D84E"/>
    <w:lvl w:ilvl="0">
      <w:start w:val="1"/>
      <w:numFmt w:val="decimal"/>
      <w:lvlText w:val="%1"/>
      <w:lvlJc w:val="left"/>
      <w:pPr>
        <w:ind w:left="432" w:hanging="432"/>
      </w:pPr>
      <w:rPr>
        <w:rFonts w:hint="default"/>
      </w:rPr>
    </w:lvl>
    <w:lvl w:ilvl="1">
      <w:start w:val="1"/>
      <w:numFmt w:val="decimal"/>
      <w:lvlText w:val="3.%2"/>
      <w:lvlJc w:val="left"/>
      <w:pPr>
        <w:ind w:left="576" w:hanging="576"/>
      </w:pPr>
      <w:rPr>
        <w:rFonts w:hint="default"/>
      </w:rPr>
    </w:lvl>
    <w:lvl w:ilvl="2">
      <w:start w:val="1"/>
      <w:numFmt w:val="decimal"/>
      <w:lvlText w:val="2.%2.%3"/>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B8B3D7F"/>
    <w:multiLevelType w:val="hybridMultilevel"/>
    <w:tmpl w:val="9F4809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2023904"/>
    <w:multiLevelType w:val="hybridMultilevel"/>
    <w:tmpl w:val="14509E94"/>
    <w:lvl w:ilvl="0" w:tplc="03E49778">
      <w:start w:val="1"/>
      <w:numFmt w:val="decimal"/>
      <w:lvlText w:val="%1."/>
      <w:lvlJc w:val="left"/>
      <w:pPr>
        <w:ind w:left="0" w:hanging="569"/>
      </w:pPr>
      <w:rPr>
        <w:rFonts w:ascii="Times New Roman" w:eastAsia="Times New Roman" w:hAnsi="Times New Roman" w:cs="Times New Roman" w:hint="default"/>
        <w:spacing w:val="0"/>
        <w:w w:val="99"/>
        <w:sz w:val="20"/>
        <w:szCs w:val="20"/>
        <w:lang w:val="en-US" w:eastAsia="en-US" w:bidi="en-US"/>
      </w:rPr>
    </w:lvl>
    <w:lvl w:ilvl="1" w:tplc="71460DCC">
      <w:start w:val="1"/>
      <w:numFmt w:val="lowerLetter"/>
      <w:lvlText w:val="(%2)"/>
      <w:lvlJc w:val="left"/>
      <w:pPr>
        <w:ind w:left="1135" w:hanging="567"/>
      </w:pPr>
      <w:rPr>
        <w:rFonts w:ascii="Times New Roman" w:eastAsia="Times New Roman" w:hAnsi="Times New Roman" w:cs="Times New Roman" w:hint="default"/>
        <w:w w:val="99"/>
        <w:sz w:val="20"/>
        <w:szCs w:val="20"/>
        <w:lang w:val="en-US" w:eastAsia="en-US" w:bidi="en-US"/>
      </w:rPr>
    </w:lvl>
    <w:lvl w:ilvl="2" w:tplc="B1384C42">
      <w:numFmt w:val="bullet"/>
      <w:lvlText w:val="•"/>
      <w:lvlJc w:val="left"/>
      <w:pPr>
        <w:ind w:left="1970" w:hanging="567"/>
      </w:pPr>
      <w:rPr>
        <w:rFonts w:hint="default"/>
        <w:lang w:val="en-US" w:eastAsia="en-US" w:bidi="en-US"/>
      </w:rPr>
    </w:lvl>
    <w:lvl w:ilvl="3" w:tplc="0AC2F16E">
      <w:numFmt w:val="bullet"/>
      <w:lvlText w:val="•"/>
      <w:lvlJc w:val="left"/>
      <w:pPr>
        <w:ind w:left="2806" w:hanging="567"/>
      </w:pPr>
      <w:rPr>
        <w:rFonts w:hint="default"/>
        <w:lang w:val="en-US" w:eastAsia="en-US" w:bidi="en-US"/>
      </w:rPr>
    </w:lvl>
    <w:lvl w:ilvl="4" w:tplc="96EEC34E">
      <w:numFmt w:val="bullet"/>
      <w:lvlText w:val="•"/>
      <w:lvlJc w:val="left"/>
      <w:pPr>
        <w:ind w:left="3642" w:hanging="567"/>
      </w:pPr>
      <w:rPr>
        <w:rFonts w:hint="default"/>
        <w:lang w:val="en-US" w:eastAsia="en-US" w:bidi="en-US"/>
      </w:rPr>
    </w:lvl>
    <w:lvl w:ilvl="5" w:tplc="367490D4">
      <w:numFmt w:val="bullet"/>
      <w:lvlText w:val="•"/>
      <w:lvlJc w:val="left"/>
      <w:pPr>
        <w:ind w:left="4479" w:hanging="567"/>
      </w:pPr>
      <w:rPr>
        <w:rFonts w:hint="default"/>
        <w:lang w:val="en-US" w:eastAsia="en-US" w:bidi="en-US"/>
      </w:rPr>
    </w:lvl>
    <w:lvl w:ilvl="6" w:tplc="C0B09396">
      <w:numFmt w:val="bullet"/>
      <w:lvlText w:val="•"/>
      <w:lvlJc w:val="left"/>
      <w:pPr>
        <w:ind w:left="5315" w:hanging="567"/>
      </w:pPr>
      <w:rPr>
        <w:rFonts w:hint="default"/>
        <w:lang w:val="en-US" w:eastAsia="en-US" w:bidi="en-US"/>
      </w:rPr>
    </w:lvl>
    <w:lvl w:ilvl="7" w:tplc="6BF631AC">
      <w:numFmt w:val="bullet"/>
      <w:lvlText w:val="•"/>
      <w:lvlJc w:val="left"/>
      <w:pPr>
        <w:ind w:left="6151" w:hanging="567"/>
      </w:pPr>
      <w:rPr>
        <w:rFonts w:hint="default"/>
        <w:lang w:val="en-US" w:eastAsia="en-US" w:bidi="en-US"/>
      </w:rPr>
    </w:lvl>
    <w:lvl w:ilvl="8" w:tplc="E0081A00">
      <w:numFmt w:val="bullet"/>
      <w:lvlText w:val="•"/>
      <w:lvlJc w:val="left"/>
      <w:pPr>
        <w:ind w:left="6987" w:hanging="567"/>
      </w:pPr>
      <w:rPr>
        <w:rFonts w:hint="default"/>
        <w:lang w:val="en-US" w:eastAsia="en-US" w:bidi="en-US"/>
      </w:rPr>
    </w:lvl>
  </w:abstractNum>
  <w:abstractNum w:abstractNumId="28" w15:restartNumberingAfterBreak="0">
    <w:nsid w:val="648511CB"/>
    <w:multiLevelType w:val="hybridMultilevel"/>
    <w:tmpl w:val="BE02E5B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EC7056"/>
    <w:multiLevelType w:val="hybridMultilevel"/>
    <w:tmpl w:val="C60E99C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659835A7"/>
    <w:multiLevelType w:val="singleLevel"/>
    <w:tmpl w:val="3182ABC0"/>
    <w:lvl w:ilvl="0">
      <w:start w:val="1"/>
      <w:numFmt w:val="lowerLetter"/>
      <w:pStyle w:val="Lettre-6pts"/>
      <w:lvlText w:val="%1)"/>
      <w:lvlJc w:val="left"/>
      <w:pPr>
        <w:tabs>
          <w:tab w:val="num" w:pos="360"/>
        </w:tabs>
        <w:ind w:left="360" w:hanging="360"/>
      </w:pPr>
    </w:lvl>
  </w:abstractNum>
  <w:abstractNum w:abstractNumId="31" w15:restartNumberingAfterBreak="0">
    <w:nsid w:val="6A0C1755"/>
    <w:multiLevelType w:val="hybridMultilevel"/>
    <w:tmpl w:val="B59EFC2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15:restartNumberingAfterBreak="0">
    <w:nsid w:val="6CED0CC9"/>
    <w:multiLevelType w:val="hybridMultilevel"/>
    <w:tmpl w:val="5A7C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09377AA"/>
    <w:multiLevelType w:val="hybridMultilevel"/>
    <w:tmpl w:val="16B8F52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4" w15:restartNumberingAfterBreak="0">
    <w:nsid w:val="7374772C"/>
    <w:multiLevelType w:val="hybridMultilevel"/>
    <w:tmpl w:val="5A34D604"/>
    <w:lvl w:ilvl="0" w:tplc="04090011">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5" w15:restartNumberingAfterBreak="0">
    <w:nsid w:val="7A834AA9"/>
    <w:multiLevelType w:val="hybridMultilevel"/>
    <w:tmpl w:val="775C6D1A"/>
    <w:lvl w:ilvl="0" w:tplc="1B76F390">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B53CA0"/>
    <w:multiLevelType w:val="hybridMultilevel"/>
    <w:tmpl w:val="694E3482"/>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16cid:durableId="729881775">
    <w:abstractNumId w:val="13"/>
  </w:num>
  <w:num w:numId="2" w16cid:durableId="308218380">
    <w:abstractNumId w:val="20"/>
  </w:num>
  <w:num w:numId="3" w16cid:durableId="751466407">
    <w:abstractNumId w:val="27"/>
  </w:num>
  <w:num w:numId="4" w16cid:durableId="327753854">
    <w:abstractNumId w:val="31"/>
  </w:num>
  <w:num w:numId="5" w16cid:durableId="1393769512">
    <w:abstractNumId w:val="1"/>
  </w:num>
  <w:num w:numId="6" w16cid:durableId="1275870860">
    <w:abstractNumId w:val="5"/>
  </w:num>
  <w:num w:numId="7" w16cid:durableId="1719084589">
    <w:abstractNumId w:val="16"/>
  </w:num>
  <w:num w:numId="8" w16cid:durableId="766465179">
    <w:abstractNumId w:val="4"/>
  </w:num>
  <w:num w:numId="9" w16cid:durableId="877402191">
    <w:abstractNumId w:val="11"/>
  </w:num>
  <w:num w:numId="10" w16cid:durableId="15106815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6087666">
    <w:abstractNumId w:val="29"/>
  </w:num>
  <w:num w:numId="12" w16cid:durableId="1243250194">
    <w:abstractNumId w:val="14"/>
  </w:num>
  <w:num w:numId="13" w16cid:durableId="797188494">
    <w:abstractNumId w:val="0"/>
  </w:num>
  <w:num w:numId="14" w16cid:durableId="2071734810">
    <w:abstractNumId w:val="35"/>
  </w:num>
  <w:num w:numId="15" w16cid:durableId="1715733339">
    <w:abstractNumId w:val="28"/>
  </w:num>
  <w:num w:numId="16" w16cid:durableId="156384591">
    <w:abstractNumId w:val="9"/>
  </w:num>
  <w:num w:numId="17" w16cid:durableId="557205573">
    <w:abstractNumId w:val="25"/>
  </w:num>
  <w:num w:numId="18" w16cid:durableId="145517811">
    <w:abstractNumId w:val="32"/>
  </w:num>
  <w:num w:numId="19" w16cid:durableId="743796140">
    <w:abstractNumId w:val="17"/>
  </w:num>
  <w:num w:numId="20" w16cid:durableId="1044714191">
    <w:abstractNumId w:val="30"/>
  </w:num>
  <w:num w:numId="21" w16cid:durableId="934558322">
    <w:abstractNumId w:val="6"/>
  </w:num>
  <w:num w:numId="22" w16cid:durableId="895508281">
    <w:abstractNumId w:val="26"/>
  </w:num>
  <w:num w:numId="23" w16cid:durableId="676660163">
    <w:abstractNumId w:val="22"/>
  </w:num>
  <w:num w:numId="24" w16cid:durableId="1390612772">
    <w:abstractNumId w:val="24"/>
  </w:num>
  <w:num w:numId="25" w16cid:durableId="1545866539">
    <w:abstractNumId w:val="13"/>
  </w:num>
  <w:num w:numId="26" w16cid:durableId="365183595">
    <w:abstractNumId w:val="13"/>
  </w:num>
  <w:num w:numId="27" w16cid:durableId="1609459334">
    <w:abstractNumId w:val="33"/>
  </w:num>
  <w:num w:numId="28" w16cid:durableId="1933464289">
    <w:abstractNumId w:val="13"/>
  </w:num>
  <w:num w:numId="29" w16cid:durableId="2104454693">
    <w:abstractNumId w:val="13"/>
  </w:num>
  <w:num w:numId="30" w16cid:durableId="246114416">
    <w:abstractNumId w:val="13"/>
  </w:num>
  <w:num w:numId="31" w16cid:durableId="1401440875">
    <w:abstractNumId w:val="34"/>
  </w:num>
  <w:num w:numId="32" w16cid:durableId="1447045868">
    <w:abstractNumId w:val="13"/>
  </w:num>
  <w:num w:numId="33" w16cid:durableId="1793357141">
    <w:abstractNumId w:val="13"/>
  </w:num>
  <w:num w:numId="34" w16cid:durableId="1278178636">
    <w:abstractNumId w:val="13"/>
  </w:num>
  <w:num w:numId="35" w16cid:durableId="424807200">
    <w:abstractNumId w:val="13"/>
  </w:num>
  <w:num w:numId="36" w16cid:durableId="1188986448">
    <w:abstractNumId w:val="13"/>
  </w:num>
  <w:num w:numId="37" w16cid:durableId="1254514086">
    <w:abstractNumId w:val="15"/>
  </w:num>
  <w:num w:numId="38" w16cid:durableId="610091374">
    <w:abstractNumId w:val="8"/>
  </w:num>
  <w:num w:numId="39" w16cid:durableId="1831822525">
    <w:abstractNumId w:val="7"/>
  </w:num>
  <w:num w:numId="40" w16cid:durableId="540438931">
    <w:abstractNumId w:val="3"/>
  </w:num>
  <w:num w:numId="41" w16cid:durableId="2090229452">
    <w:abstractNumId w:val="2"/>
  </w:num>
  <w:num w:numId="42" w16cid:durableId="164516752">
    <w:abstractNumId w:val="23"/>
  </w:num>
  <w:num w:numId="43" w16cid:durableId="22555077">
    <w:abstractNumId w:val="12"/>
  </w:num>
  <w:num w:numId="44" w16cid:durableId="1839350065">
    <w:abstractNumId w:val="18"/>
  </w:num>
  <w:num w:numId="45" w16cid:durableId="133328243">
    <w:abstractNumId w:val="10"/>
  </w:num>
  <w:num w:numId="46" w16cid:durableId="1537430231">
    <w:abstractNumId w:val="21"/>
  </w:num>
  <w:num w:numId="47" w16cid:durableId="82073136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CE"/>
    <w:rsid w:val="000013F1"/>
    <w:rsid w:val="00004E1E"/>
    <w:rsid w:val="00005C73"/>
    <w:rsid w:val="00012209"/>
    <w:rsid w:val="00013E78"/>
    <w:rsid w:val="00014669"/>
    <w:rsid w:val="000202A8"/>
    <w:rsid w:val="000324FE"/>
    <w:rsid w:val="00034223"/>
    <w:rsid w:val="00035C93"/>
    <w:rsid w:val="00036816"/>
    <w:rsid w:val="00037932"/>
    <w:rsid w:val="0004143D"/>
    <w:rsid w:val="000426E4"/>
    <w:rsid w:val="00042B02"/>
    <w:rsid w:val="0004672C"/>
    <w:rsid w:val="00047464"/>
    <w:rsid w:val="00051AD3"/>
    <w:rsid w:val="0005717C"/>
    <w:rsid w:val="00062756"/>
    <w:rsid w:val="00064F82"/>
    <w:rsid w:val="00073CEB"/>
    <w:rsid w:val="00075D19"/>
    <w:rsid w:val="00080666"/>
    <w:rsid w:val="00082526"/>
    <w:rsid w:val="00083504"/>
    <w:rsid w:val="00084670"/>
    <w:rsid w:val="00087848"/>
    <w:rsid w:val="000902FF"/>
    <w:rsid w:val="00094BAF"/>
    <w:rsid w:val="000A099F"/>
    <w:rsid w:val="000A3051"/>
    <w:rsid w:val="000A3913"/>
    <w:rsid w:val="000A5269"/>
    <w:rsid w:val="000A5C4B"/>
    <w:rsid w:val="000A663E"/>
    <w:rsid w:val="000A78B0"/>
    <w:rsid w:val="000B616C"/>
    <w:rsid w:val="000C14B6"/>
    <w:rsid w:val="000C1E9A"/>
    <w:rsid w:val="000C3050"/>
    <w:rsid w:val="000C48CA"/>
    <w:rsid w:val="000C5D6A"/>
    <w:rsid w:val="000C7988"/>
    <w:rsid w:val="000C7D2C"/>
    <w:rsid w:val="000D1937"/>
    <w:rsid w:val="000D6BC0"/>
    <w:rsid w:val="000E0A16"/>
    <w:rsid w:val="000E13D9"/>
    <w:rsid w:val="000E73C0"/>
    <w:rsid w:val="000F199D"/>
    <w:rsid w:val="000F4BB8"/>
    <w:rsid w:val="00101048"/>
    <w:rsid w:val="0010248E"/>
    <w:rsid w:val="00107BA1"/>
    <w:rsid w:val="00107ED8"/>
    <w:rsid w:val="0011018B"/>
    <w:rsid w:val="00110E48"/>
    <w:rsid w:val="00112D99"/>
    <w:rsid w:val="0011329D"/>
    <w:rsid w:val="001159FB"/>
    <w:rsid w:val="00116866"/>
    <w:rsid w:val="00121EDA"/>
    <w:rsid w:val="001220B9"/>
    <w:rsid w:val="0012342F"/>
    <w:rsid w:val="0012461C"/>
    <w:rsid w:val="00125F75"/>
    <w:rsid w:val="00127B99"/>
    <w:rsid w:val="00132DA7"/>
    <w:rsid w:val="001339FB"/>
    <w:rsid w:val="00136D4B"/>
    <w:rsid w:val="0013706E"/>
    <w:rsid w:val="00142361"/>
    <w:rsid w:val="00146865"/>
    <w:rsid w:val="00152D2E"/>
    <w:rsid w:val="00154255"/>
    <w:rsid w:val="00154FF1"/>
    <w:rsid w:val="00160205"/>
    <w:rsid w:val="0016127D"/>
    <w:rsid w:val="001652E1"/>
    <w:rsid w:val="00167B12"/>
    <w:rsid w:val="00170DFC"/>
    <w:rsid w:val="00175597"/>
    <w:rsid w:val="0018114D"/>
    <w:rsid w:val="0018249C"/>
    <w:rsid w:val="00185285"/>
    <w:rsid w:val="0018724A"/>
    <w:rsid w:val="00190AA1"/>
    <w:rsid w:val="00191A77"/>
    <w:rsid w:val="00195249"/>
    <w:rsid w:val="00195CF2"/>
    <w:rsid w:val="001A25A0"/>
    <w:rsid w:val="001A384F"/>
    <w:rsid w:val="001A50BA"/>
    <w:rsid w:val="001A5200"/>
    <w:rsid w:val="001A66FD"/>
    <w:rsid w:val="001B523C"/>
    <w:rsid w:val="001B5C5B"/>
    <w:rsid w:val="001B79AC"/>
    <w:rsid w:val="001C0B2F"/>
    <w:rsid w:val="001C2F47"/>
    <w:rsid w:val="001C411E"/>
    <w:rsid w:val="001C6740"/>
    <w:rsid w:val="001C75F7"/>
    <w:rsid w:val="001D32D9"/>
    <w:rsid w:val="001E28FA"/>
    <w:rsid w:val="001E346D"/>
    <w:rsid w:val="001E6921"/>
    <w:rsid w:val="001E6979"/>
    <w:rsid w:val="001F0779"/>
    <w:rsid w:val="001F0DB3"/>
    <w:rsid w:val="001F1A7E"/>
    <w:rsid w:val="001F3760"/>
    <w:rsid w:val="001F3BEE"/>
    <w:rsid w:val="001F48FA"/>
    <w:rsid w:val="001F504C"/>
    <w:rsid w:val="00201A42"/>
    <w:rsid w:val="002064BE"/>
    <w:rsid w:val="0020716E"/>
    <w:rsid w:val="00217714"/>
    <w:rsid w:val="0022147C"/>
    <w:rsid w:val="00221DA9"/>
    <w:rsid w:val="00227ECE"/>
    <w:rsid w:val="00230913"/>
    <w:rsid w:val="00236156"/>
    <w:rsid w:val="00236535"/>
    <w:rsid w:val="002428BE"/>
    <w:rsid w:val="00246A38"/>
    <w:rsid w:val="0025212D"/>
    <w:rsid w:val="002566E7"/>
    <w:rsid w:val="002612D5"/>
    <w:rsid w:val="00265487"/>
    <w:rsid w:val="0026585C"/>
    <w:rsid w:val="00272C5A"/>
    <w:rsid w:val="002744A4"/>
    <w:rsid w:val="00284610"/>
    <w:rsid w:val="002935DC"/>
    <w:rsid w:val="002A3398"/>
    <w:rsid w:val="002A5ADD"/>
    <w:rsid w:val="002A7544"/>
    <w:rsid w:val="002B25E5"/>
    <w:rsid w:val="002B4331"/>
    <w:rsid w:val="002C2002"/>
    <w:rsid w:val="002C4136"/>
    <w:rsid w:val="002C4826"/>
    <w:rsid w:val="002C5D4C"/>
    <w:rsid w:val="002D62D9"/>
    <w:rsid w:val="002E20DF"/>
    <w:rsid w:val="002E6656"/>
    <w:rsid w:val="002F35B0"/>
    <w:rsid w:val="002F4FE4"/>
    <w:rsid w:val="00300DBE"/>
    <w:rsid w:val="003036D7"/>
    <w:rsid w:val="00305685"/>
    <w:rsid w:val="00313BA0"/>
    <w:rsid w:val="00316DC3"/>
    <w:rsid w:val="00323F5E"/>
    <w:rsid w:val="00325D25"/>
    <w:rsid w:val="003275DC"/>
    <w:rsid w:val="00327624"/>
    <w:rsid w:val="003278AE"/>
    <w:rsid w:val="00334E81"/>
    <w:rsid w:val="00335ACC"/>
    <w:rsid w:val="00336DF9"/>
    <w:rsid w:val="00340287"/>
    <w:rsid w:val="00341905"/>
    <w:rsid w:val="00342894"/>
    <w:rsid w:val="00345640"/>
    <w:rsid w:val="00345B2D"/>
    <w:rsid w:val="0034763D"/>
    <w:rsid w:val="0035520B"/>
    <w:rsid w:val="003560D7"/>
    <w:rsid w:val="00356A00"/>
    <w:rsid w:val="00362E13"/>
    <w:rsid w:val="003711A4"/>
    <w:rsid w:val="003805F9"/>
    <w:rsid w:val="00381152"/>
    <w:rsid w:val="003871D6"/>
    <w:rsid w:val="00393BDE"/>
    <w:rsid w:val="00394FD2"/>
    <w:rsid w:val="003A28E4"/>
    <w:rsid w:val="003A5B8C"/>
    <w:rsid w:val="003B0171"/>
    <w:rsid w:val="003B1FDF"/>
    <w:rsid w:val="003B4CCD"/>
    <w:rsid w:val="003C2E12"/>
    <w:rsid w:val="003C3E01"/>
    <w:rsid w:val="003C5474"/>
    <w:rsid w:val="003C5F99"/>
    <w:rsid w:val="003D033D"/>
    <w:rsid w:val="003D05E6"/>
    <w:rsid w:val="003D49A9"/>
    <w:rsid w:val="003E39E5"/>
    <w:rsid w:val="003E60DB"/>
    <w:rsid w:val="003E72A9"/>
    <w:rsid w:val="003F5904"/>
    <w:rsid w:val="004034C9"/>
    <w:rsid w:val="004043D4"/>
    <w:rsid w:val="00406FE0"/>
    <w:rsid w:val="0041538B"/>
    <w:rsid w:val="00420B55"/>
    <w:rsid w:val="004219EF"/>
    <w:rsid w:val="00424211"/>
    <w:rsid w:val="00425E2B"/>
    <w:rsid w:val="0042713A"/>
    <w:rsid w:val="004309E5"/>
    <w:rsid w:val="00436FA7"/>
    <w:rsid w:val="0043707F"/>
    <w:rsid w:val="00437165"/>
    <w:rsid w:val="00442CE5"/>
    <w:rsid w:val="00445E35"/>
    <w:rsid w:val="00450A85"/>
    <w:rsid w:val="00451575"/>
    <w:rsid w:val="00451D9E"/>
    <w:rsid w:val="004566B2"/>
    <w:rsid w:val="00461482"/>
    <w:rsid w:val="0046281D"/>
    <w:rsid w:val="004638FF"/>
    <w:rsid w:val="00467982"/>
    <w:rsid w:val="00467E26"/>
    <w:rsid w:val="0047026A"/>
    <w:rsid w:val="00471EF0"/>
    <w:rsid w:val="004756DA"/>
    <w:rsid w:val="00476E65"/>
    <w:rsid w:val="00481024"/>
    <w:rsid w:val="00486944"/>
    <w:rsid w:val="00492862"/>
    <w:rsid w:val="00492FE0"/>
    <w:rsid w:val="004941A9"/>
    <w:rsid w:val="004943A0"/>
    <w:rsid w:val="004960B5"/>
    <w:rsid w:val="004A03EB"/>
    <w:rsid w:val="004A3D6D"/>
    <w:rsid w:val="004A69A2"/>
    <w:rsid w:val="004B36CB"/>
    <w:rsid w:val="004B5EF7"/>
    <w:rsid w:val="004C5676"/>
    <w:rsid w:val="004D1F2F"/>
    <w:rsid w:val="004D3018"/>
    <w:rsid w:val="004D4E8A"/>
    <w:rsid w:val="004D59C6"/>
    <w:rsid w:val="004D7ACA"/>
    <w:rsid w:val="004E03D6"/>
    <w:rsid w:val="004E1660"/>
    <w:rsid w:val="004E73D2"/>
    <w:rsid w:val="004F05EA"/>
    <w:rsid w:val="004F07C7"/>
    <w:rsid w:val="004F250F"/>
    <w:rsid w:val="004F7D79"/>
    <w:rsid w:val="00501A2E"/>
    <w:rsid w:val="00503AE8"/>
    <w:rsid w:val="00504FF5"/>
    <w:rsid w:val="00510871"/>
    <w:rsid w:val="00510B9A"/>
    <w:rsid w:val="00512763"/>
    <w:rsid w:val="005162EC"/>
    <w:rsid w:val="00517DA3"/>
    <w:rsid w:val="005208F5"/>
    <w:rsid w:val="00522330"/>
    <w:rsid w:val="00524547"/>
    <w:rsid w:val="00533D5A"/>
    <w:rsid w:val="00545F10"/>
    <w:rsid w:val="00554D32"/>
    <w:rsid w:val="00555705"/>
    <w:rsid w:val="00557A15"/>
    <w:rsid w:val="00561C38"/>
    <w:rsid w:val="0056264F"/>
    <w:rsid w:val="00565782"/>
    <w:rsid w:val="00577352"/>
    <w:rsid w:val="005814B3"/>
    <w:rsid w:val="00581E48"/>
    <w:rsid w:val="005913B2"/>
    <w:rsid w:val="00592DE3"/>
    <w:rsid w:val="005A54DE"/>
    <w:rsid w:val="005B0B5E"/>
    <w:rsid w:val="005B3226"/>
    <w:rsid w:val="005B59FD"/>
    <w:rsid w:val="005C3690"/>
    <w:rsid w:val="005C53AD"/>
    <w:rsid w:val="005D623B"/>
    <w:rsid w:val="005D642C"/>
    <w:rsid w:val="005D6568"/>
    <w:rsid w:val="005E0D55"/>
    <w:rsid w:val="005E78F8"/>
    <w:rsid w:val="005F506B"/>
    <w:rsid w:val="005F7CB6"/>
    <w:rsid w:val="0060232A"/>
    <w:rsid w:val="006231A5"/>
    <w:rsid w:val="00623765"/>
    <w:rsid w:val="006239E0"/>
    <w:rsid w:val="00623A55"/>
    <w:rsid w:val="00643C54"/>
    <w:rsid w:val="0064448A"/>
    <w:rsid w:val="006539C6"/>
    <w:rsid w:val="00654399"/>
    <w:rsid w:val="0065689B"/>
    <w:rsid w:val="00662BF0"/>
    <w:rsid w:val="006636F7"/>
    <w:rsid w:val="00663F78"/>
    <w:rsid w:val="0066762C"/>
    <w:rsid w:val="006748A3"/>
    <w:rsid w:val="00680823"/>
    <w:rsid w:val="00680C34"/>
    <w:rsid w:val="00681C2E"/>
    <w:rsid w:val="00682161"/>
    <w:rsid w:val="00683BB9"/>
    <w:rsid w:val="0068749B"/>
    <w:rsid w:val="006905AE"/>
    <w:rsid w:val="006925C7"/>
    <w:rsid w:val="00692FF0"/>
    <w:rsid w:val="00696AE9"/>
    <w:rsid w:val="006A1C37"/>
    <w:rsid w:val="006B2E55"/>
    <w:rsid w:val="006B4E12"/>
    <w:rsid w:val="006C0393"/>
    <w:rsid w:val="006C6B84"/>
    <w:rsid w:val="006C7232"/>
    <w:rsid w:val="006D2255"/>
    <w:rsid w:val="006D2F4C"/>
    <w:rsid w:val="006D6C70"/>
    <w:rsid w:val="006E34D7"/>
    <w:rsid w:val="006E5F69"/>
    <w:rsid w:val="006F1717"/>
    <w:rsid w:val="006F4EFA"/>
    <w:rsid w:val="00706970"/>
    <w:rsid w:val="007073C2"/>
    <w:rsid w:val="007078AF"/>
    <w:rsid w:val="00707B82"/>
    <w:rsid w:val="0071088D"/>
    <w:rsid w:val="00710E95"/>
    <w:rsid w:val="00713C32"/>
    <w:rsid w:val="00720BAF"/>
    <w:rsid w:val="00724D3A"/>
    <w:rsid w:val="00730484"/>
    <w:rsid w:val="0073061D"/>
    <w:rsid w:val="00732306"/>
    <w:rsid w:val="00732608"/>
    <w:rsid w:val="007340E9"/>
    <w:rsid w:val="007356D6"/>
    <w:rsid w:val="00742051"/>
    <w:rsid w:val="0074219D"/>
    <w:rsid w:val="0074263B"/>
    <w:rsid w:val="007447CB"/>
    <w:rsid w:val="00747915"/>
    <w:rsid w:val="0075181F"/>
    <w:rsid w:val="00754390"/>
    <w:rsid w:val="0075693F"/>
    <w:rsid w:val="007570CA"/>
    <w:rsid w:val="007651A3"/>
    <w:rsid w:val="00767771"/>
    <w:rsid w:val="007679E1"/>
    <w:rsid w:val="0077278B"/>
    <w:rsid w:val="007757C6"/>
    <w:rsid w:val="00777147"/>
    <w:rsid w:val="00782902"/>
    <w:rsid w:val="00785E18"/>
    <w:rsid w:val="00786399"/>
    <w:rsid w:val="00787EB8"/>
    <w:rsid w:val="00790A00"/>
    <w:rsid w:val="00797F3A"/>
    <w:rsid w:val="007A19C6"/>
    <w:rsid w:val="007A1FC3"/>
    <w:rsid w:val="007A2195"/>
    <w:rsid w:val="007A6592"/>
    <w:rsid w:val="007A65E9"/>
    <w:rsid w:val="007B04FA"/>
    <w:rsid w:val="007B2815"/>
    <w:rsid w:val="007B365E"/>
    <w:rsid w:val="007B725F"/>
    <w:rsid w:val="007C39FB"/>
    <w:rsid w:val="007C4DBD"/>
    <w:rsid w:val="007D4A26"/>
    <w:rsid w:val="007D50F5"/>
    <w:rsid w:val="007D57F1"/>
    <w:rsid w:val="007E0283"/>
    <w:rsid w:val="007E660B"/>
    <w:rsid w:val="007E70A9"/>
    <w:rsid w:val="007F413B"/>
    <w:rsid w:val="0080231B"/>
    <w:rsid w:val="008039E1"/>
    <w:rsid w:val="00805EDF"/>
    <w:rsid w:val="00806C18"/>
    <w:rsid w:val="0081129C"/>
    <w:rsid w:val="00811D25"/>
    <w:rsid w:val="00815E5E"/>
    <w:rsid w:val="00816746"/>
    <w:rsid w:val="008245F4"/>
    <w:rsid w:val="00827BCA"/>
    <w:rsid w:val="00831288"/>
    <w:rsid w:val="00832291"/>
    <w:rsid w:val="00836055"/>
    <w:rsid w:val="00840461"/>
    <w:rsid w:val="00842E5D"/>
    <w:rsid w:val="00845377"/>
    <w:rsid w:val="00847339"/>
    <w:rsid w:val="00847FB9"/>
    <w:rsid w:val="00852C88"/>
    <w:rsid w:val="00852D0D"/>
    <w:rsid w:val="00853BE8"/>
    <w:rsid w:val="00857C9A"/>
    <w:rsid w:val="0086018B"/>
    <w:rsid w:val="008615BF"/>
    <w:rsid w:val="008640B0"/>
    <w:rsid w:val="00866DC8"/>
    <w:rsid w:val="00867309"/>
    <w:rsid w:val="0086740B"/>
    <w:rsid w:val="008725FE"/>
    <w:rsid w:val="00874197"/>
    <w:rsid w:val="00876A6F"/>
    <w:rsid w:val="00882AE3"/>
    <w:rsid w:val="00882C9D"/>
    <w:rsid w:val="008832FD"/>
    <w:rsid w:val="00886D10"/>
    <w:rsid w:val="0088729F"/>
    <w:rsid w:val="0088790F"/>
    <w:rsid w:val="0089187A"/>
    <w:rsid w:val="008934CE"/>
    <w:rsid w:val="008A5BBE"/>
    <w:rsid w:val="008C2162"/>
    <w:rsid w:val="008C387B"/>
    <w:rsid w:val="008C53C1"/>
    <w:rsid w:val="008D35C3"/>
    <w:rsid w:val="008D6050"/>
    <w:rsid w:val="008E2591"/>
    <w:rsid w:val="008E551E"/>
    <w:rsid w:val="008F2A10"/>
    <w:rsid w:val="008F31A5"/>
    <w:rsid w:val="008F391B"/>
    <w:rsid w:val="008F57F2"/>
    <w:rsid w:val="00900734"/>
    <w:rsid w:val="00900C09"/>
    <w:rsid w:val="00901AB8"/>
    <w:rsid w:val="00901C6D"/>
    <w:rsid w:val="00902764"/>
    <w:rsid w:val="009109EA"/>
    <w:rsid w:val="0091398B"/>
    <w:rsid w:val="00920B50"/>
    <w:rsid w:val="00921736"/>
    <w:rsid w:val="00925604"/>
    <w:rsid w:val="00926189"/>
    <w:rsid w:val="00927247"/>
    <w:rsid w:val="00927708"/>
    <w:rsid w:val="0093692B"/>
    <w:rsid w:val="00941F57"/>
    <w:rsid w:val="0094603E"/>
    <w:rsid w:val="00954A97"/>
    <w:rsid w:val="009558D6"/>
    <w:rsid w:val="00965F3C"/>
    <w:rsid w:val="00966BAB"/>
    <w:rsid w:val="0097629F"/>
    <w:rsid w:val="00980062"/>
    <w:rsid w:val="009815AD"/>
    <w:rsid w:val="009846A5"/>
    <w:rsid w:val="009905D1"/>
    <w:rsid w:val="00990EDE"/>
    <w:rsid w:val="00991374"/>
    <w:rsid w:val="0099160D"/>
    <w:rsid w:val="00993D23"/>
    <w:rsid w:val="00997653"/>
    <w:rsid w:val="009A561B"/>
    <w:rsid w:val="009B1339"/>
    <w:rsid w:val="009B2B99"/>
    <w:rsid w:val="009B3809"/>
    <w:rsid w:val="009B52AE"/>
    <w:rsid w:val="009B5B67"/>
    <w:rsid w:val="009C1AF0"/>
    <w:rsid w:val="009C316D"/>
    <w:rsid w:val="009C5EF8"/>
    <w:rsid w:val="009C7318"/>
    <w:rsid w:val="009C7B5B"/>
    <w:rsid w:val="009D1308"/>
    <w:rsid w:val="009D7E94"/>
    <w:rsid w:val="009E30E2"/>
    <w:rsid w:val="009E3A0C"/>
    <w:rsid w:val="009E3E49"/>
    <w:rsid w:val="009E4B4A"/>
    <w:rsid w:val="009E56ED"/>
    <w:rsid w:val="009E614C"/>
    <w:rsid w:val="009E668E"/>
    <w:rsid w:val="009F0FC4"/>
    <w:rsid w:val="009F5D2F"/>
    <w:rsid w:val="009F7048"/>
    <w:rsid w:val="00A06F4E"/>
    <w:rsid w:val="00A1127A"/>
    <w:rsid w:val="00A21267"/>
    <w:rsid w:val="00A23BBF"/>
    <w:rsid w:val="00A24D5F"/>
    <w:rsid w:val="00A2798F"/>
    <w:rsid w:val="00A36597"/>
    <w:rsid w:val="00A44E1C"/>
    <w:rsid w:val="00A450F9"/>
    <w:rsid w:val="00A50EE7"/>
    <w:rsid w:val="00A5306E"/>
    <w:rsid w:val="00A56709"/>
    <w:rsid w:val="00A60774"/>
    <w:rsid w:val="00A64419"/>
    <w:rsid w:val="00A75B3B"/>
    <w:rsid w:val="00A810C8"/>
    <w:rsid w:val="00A82026"/>
    <w:rsid w:val="00A83348"/>
    <w:rsid w:val="00A94248"/>
    <w:rsid w:val="00A95F83"/>
    <w:rsid w:val="00A96906"/>
    <w:rsid w:val="00AA1B12"/>
    <w:rsid w:val="00AA2702"/>
    <w:rsid w:val="00AA3FE6"/>
    <w:rsid w:val="00AA5756"/>
    <w:rsid w:val="00AA62B3"/>
    <w:rsid w:val="00AB16CA"/>
    <w:rsid w:val="00AB6766"/>
    <w:rsid w:val="00AC0D03"/>
    <w:rsid w:val="00AC2A94"/>
    <w:rsid w:val="00AC3879"/>
    <w:rsid w:val="00AD1637"/>
    <w:rsid w:val="00AD3320"/>
    <w:rsid w:val="00AD5E7C"/>
    <w:rsid w:val="00AD6D41"/>
    <w:rsid w:val="00AD7A28"/>
    <w:rsid w:val="00AE4489"/>
    <w:rsid w:val="00AE6D91"/>
    <w:rsid w:val="00AF3ACF"/>
    <w:rsid w:val="00AF4190"/>
    <w:rsid w:val="00AF732F"/>
    <w:rsid w:val="00B04F17"/>
    <w:rsid w:val="00B059DC"/>
    <w:rsid w:val="00B06D5B"/>
    <w:rsid w:val="00B07077"/>
    <w:rsid w:val="00B13885"/>
    <w:rsid w:val="00B15E6D"/>
    <w:rsid w:val="00B2289B"/>
    <w:rsid w:val="00B23799"/>
    <w:rsid w:val="00B34270"/>
    <w:rsid w:val="00B3778F"/>
    <w:rsid w:val="00B403D1"/>
    <w:rsid w:val="00B4600B"/>
    <w:rsid w:val="00B46538"/>
    <w:rsid w:val="00B47421"/>
    <w:rsid w:val="00B479AB"/>
    <w:rsid w:val="00B50C33"/>
    <w:rsid w:val="00B52800"/>
    <w:rsid w:val="00B541DC"/>
    <w:rsid w:val="00B5659F"/>
    <w:rsid w:val="00B578EE"/>
    <w:rsid w:val="00B62DD2"/>
    <w:rsid w:val="00B702BF"/>
    <w:rsid w:val="00B72BB3"/>
    <w:rsid w:val="00B747BA"/>
    <w:rsid w:val="00B7722B"/>
    <w:rsid w:val="00B80C1A"/>
    <w:rsid w:val="00B839A2"/>
    <w:rsid w:val="00B858FD"/>
    <w:rsid w:val="00B91DD3"/>
    <w:rsid w:val="00BA4C8D"/>
    <w:rsid w:val="00BA6B6A"/>
    <w:rsid w:val="00BB13CA"/>
    <w:rsid w:val="00BC1301"/>
    <w:rsid w:val="00BD162A"/>
    <w:rsid w:val="00BE4B85"/>
    <w:rsid w:val="00BE7141"/>
    <w:rsid w:val="00BF2C4B"/>
    <w:rsid w:val="00BF40BB"/>
    <w:rsid w:val="00BF443C"/>
    <w:rsid w:val="00C0069E"/>
    <w:rsid w:val="00C12FD8"/>
    <w:rsid w:val="00C178CB"/>
    <w:rsid w:val="00C21615"/>
    <w:rsid w:val="00C23CBF"/>
    <w:rsid w:val="00C242CF"/>
    <w:rsid w:val="00C32EDA"/>
    <w:rsid w:val="00C358D8"/>
    <w:rsid w:val="00C431DE"/>
    <w:rsid w:val="00C43740"/>
    <w:rsid w:val="00C567C0"/>
    <w:rsid w:val="00C56A23"/>
    <w:rsid w:val="00C57246"/>
    <w:rsid w:val="00C5743F"/>
    <w:rsid w:val="00C6041B"/>
    <w:rsid w:val="00C62ADD"/>
    <w:rsid w:val="00C63DB7"/>
    <w:rsid w:val="00C74CF2"/>
    <w:rsid w:val="00C75F0D"/>
    <w:rsid w:val="00C817C8"/>
    <w:rsid w:val="00C83CF3"/>
    <w:rsid w:val="00C868FF"/>
    <w:rsid w:val="00C87BA1"/>
    <w:rsid w:val="00C906A2"/>
    <w:rsid w:val="00C92DBD"/>
    <w:rsid w:val="00C953BC"/>
    <w:rsid w:val="00CA1305"/>
    <w:rsid w:val="00CA314F"/>
    <w:rsid w:val="00CA3A01"/>
    <w:rsid w:val="00CA3F80"/>
    <w:rsid w:val="00CA456D"/>
    <w:rsid w:val="00CA4F12"/>
    <w:rsid w:val="00CB0204"/>
    <w:rsid w:val="00CB03C6"/>
    <w:rsid w:val="00CB0790"/>
    <w:rsid w:val="00CB0963"/>
    <w:rsid w:val="00CB5427"/>
    <w:rsid w:val="00CC145A"/>
    <w:rsid w:val="00CC1ED3"/>
    <w:rsid w:val="00CC5988"/>
    <w:rsid w:val="00CD1308"/>
    <w:rsid w:val="00CD35EE"/>
    <w:rsid w:val="00CD453F"/>
    <w:rsid w:val="00CD4589"/>
    <w:rsid w:val="00CD5F0E"/>
    <w:rsid w:val="00CD6DA4"/>
    <w:rsid w:val="00CE2752"/>
    <w:rsid w:val="00CE33F4"/>
    <w:rsid w:val="00CF54C2"/>
    <w:rsid w:val="00CF6D63"/>
    <w:rsid w:val="00D002B9"/>
    <w:rsid w:val="00D02955"/>
    <w:rsid w:val="00D07AE2"/>
    <w:rsid w:val="00D10C7D"/>
    <w:rsid w:val="00D162D1"/>
    <w:rsid w:val="00D168F1"/>
    <w:rsid w:val="00D220B0"/>
    <w:rsid w:val="00D24B6B"/>
    <w:rsid w:val="00D27310"/>
    <w:rsid w:val="00D2775D"/>
    <w:rsid w:val="00D32C1E"/>
    <w:rsid w:val="00D402EA"/>
    <w:rsid w:val="00D45DB4"/>
    <w:rsid w:val="00D45E6C"/>
    <w:rsid w:val="00D47EFF"/>
    <w:rsid w:val="00D51214"/>
    <w:rsid w:val="00D55141"/>
    <w:rsid w:val="00D57E38"/>
    <w:rsid w:val="00D61835"/>
    <w:rsid w:val="00D6464A"/>
    <w:rsid w:val="00D650ED"/>
    <w:rsid w:val="00D65951"/>
    <w:rsid w:val="00D6749E"/>
    <w:rsid w:val="00D75337"/>
    <w:rsid w:val="00D80FF6"/>
    <w:rsid w:val="00D81167"/>
    <w:rsid w:val="00D8505B"/>
    <w:rsid w:val="00D9004F"/>
    <w:rsid w:val="00D930AC"/>
    <w:rsid w:val="00D96C3D"/>
    <w:rsid w:val="00DA340F"/>
    <w:rsid w:val="00DA5471"/>
    <w:rsid w:val="00DA5D79"/>
    <w:rsid w:val="00DA68D1"/>
    <w:rsid w:val="00DA70E9"/>
    <w:rsid w:val="00DB204C"/>
    <w:rsid w:val="00DB68C2"/>
    <w:rsid w:val="00DB6C7F"/>
    <w:rsid w:val="00DC0065"/>
    <w:rsid w:val="00DC5248"/>
    <w:rsid w:val="00DC6C07"/>
    <w:rsid w:val="00DC7CCA"/>
    <w:rsid w:val="00DD5504"/>
    <w:rsid w:val="00DD580C"/>
    <w:rsid w:val="00DD6CD1"/>
    <w:rsid w:val="00DE3A39"/>
    <w:rsid w:val="00DE7B6F"/>
    <w:rsid w:val="00DE7E36"/>
    <w:rsid w:val="00DF1676"/>
    <w:rsid w:val="00DF177C"/>
    <w:rsid w:val="00DF2165"/>
    <w:rsid w:val="00DF39EE"/>
    <w:rsid w:val="00DF3D0B"/>
    <w:rsid w:val="00E06DD3"/>
    <w:rsid w:val="00E1006F"/>
    <w:rsid w:val="00E12990"/>
    <w:rsid w:val="00E24F41"/>
    <w:rsid w:val="00E2548F"/>
    <w:rsid w:val="00E31535"/>
    <w:rsid w:val="00E33D35"/>
    <w:rsid w:val="00E376AF"/>
    <w:rsid w:val="00E417A6"/>
    <w:rsid w:val="00E526AC"/>
    <w:rsid w:val="00E53DBA"/>
    <w:rsid w:val="00E53E85"/>
    <w:rsid w:val="00E56D9A"/>
    <w:rsid w:val="00E60897"/>
    <w:rsid w:val="00E6190B"/>
    <w:rsid w:val="00E66805"/>
    <w:rsid w:val="00E70076"/>
    <w:rsid w:val="00E76381"/>
    <w:rsid w:val="00E80B29"/>
    <w:rsid w:val="00E837FE"/>
    <w:rsid w:val="00E8768B"/>
    <w:rsid w:val="00E90AEE"/>
    <w:rsid w:val="00E9109D"/>
    <w:rsid w:val="00E9310B"/>
    <w:rsid w:val="00E95B05"/>
    <w:rsid w:val="00E9635F"/>
    <w:rsid w:val="00E96B59"/>
    <w:rsid w:val="00EA7BC1"/>
    <w:rsid w:val="00EB4D78"/>
    <w:rsid w:val="00EC06A7"/>
    <w:rsid w:val="00EC1933"/>
    <w:rsid w:val="00EC3341"/>
    <w:rsid w:val="00EC3BD8"/>
    <w:rsid w:val="00EC3C75"/>
    <w:rsid w:val="00EC788A"/>
    <w:rsid w:val="00ED3A13"/>
    <w:rsid w:val="00ED5BF4"/>
    <w:rsid w:val="00ED793F"/>
    <w:rsid w:val="00ED7A65"/>
    <w:rsid w:val="00EE260C"/>
    <w:rsid w:val="00EE39A3"/>
    <w:rsid w:val="00EE5DEE"/>
    <w:rsid w:val="00EF02CF"/>
    <w:rsid w:val="00EF0359"/>
    <w:rsid w:val="00EF292E"/>
    <w:rsid w:val="00EF717C"/>
    <w:rsid w:val="00F0659D"/>
    <w:rsid w:val="00F07772"/>
    <w:rsid w:val="00F12CAA"/>
    <w:rsid w:val="00F16B78"/>
    <w:rsid w:val="00F21F87"/>
    <w:rsid w:val="00F22F17"/>
    <w:rsid w:val="00F2596E"/>
    <w:rsid w:val="00F26112"/>
    <w:rsid w:val="00F26AF5"/>
    <w:rsid w:val="00F33550"/>
    <w:rsid w:val="00F34075"/>
    <w:rsid w:val="00F348FB"/>
    <w:rsid w:val="00F350BE"/>
    <w:rsid w:val="00F35C4D"/>
    <w:rsid w:val="00F36A14"/>
    <w:rsid w:val="00F439F2"/>
    <w:rsid w:val="00F46230"/>
    <w:rsid w:val="00F47E9C"/>
    <w:rsid w:val="00F51EDB"/>
    <w:rsid w:val="00F57A45"/>
    <w:rsid w:val="00F57FA4"/>
    <w:rsid w:val="00F67066"/>
    <w:rsid w:val="00F70659"/>
    <w:rsid w:val="00F73AD2"/>
    <w:rsid w:val="00F76F39"/>
    <w:rsid w:val="00F7712C"/>
    <w:rsid w:val="00F77A13"/>
    <w:rsid w:val="00F856F5"/>
    <w:rsid w:val="00F87760"/>
    <w:rsid w:val="00F95AA6"/>
    <w:rsid w:val="00F9731A"/>
    <w:rsid w:val="00F973CF"/>
    <w:rsid w:val="00FA22D6"/>
    <w:rsid w:val="00FA40D9"/>
    <w:rsid w:val="00FB63E4"/>
    <w:rsid w:val="00FC4137"/>
    <w:rsid w:val="00FC52D5"/>
    <w:rsid w:val="00FC7728"/>
    <w:rsid w:val="00FD3D9F"/>
    <w:rsid w:val="00FD4CF9"/>
    <w:rsid w:val="00FD73DE"/>
    <w:rsid w:val="00FE0D33"/>
    <w:rsid w:val="00FE38BD"/>
    <w:rsid w:val="00FE6E9F"/>
    <w:rsid w:val="00FE79DE"/>
    <w:rsid w:val="00FF439D"/>
    <w:rsid w:val="00FF5594"/>
    <w:rsid w:val="00FF63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FBC87F"/>
  <w15:chartTrackingRefBased/>
  <w15:docId w15:val="{E0ACD276-1572-420F-A721-187F59F7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NDC"/>
    <w:qFormat/>
    <w:rsid w:val="009E30E2"/>
    <w:pPr>
      <w:spacing w:after="120" w:line="288" w:lineRule="auto"/>
      <w:jc w:val="both"/>
    </w:pPr>
    <w:rPr>
      <w:rFonts w:ascii="Arial" w:hAnsi="Arial"/>
      <w:sz w:val="20"/>
    </w:rPr>
  </w:style>
  <w:style w:type="paragraph" w:styleId="Heading1">
    <w:name w:val="heading 1"/>
    <w:aliases w:val="SZRptH1,h1,FIAS,Heading 1 - InfoEnerg,Chapitre,Main Heading,1"/>
    <w:basedOn w:val="Normal"/>
    <w:next w:val="Normal"/>
    <w:link w:val="Heading1Char"/>
    <w:qFormat/>
    <w:rsid w:val="00E60897"/>
    <w:pPr>
      <w:keepNext/>
      <w:keepLines/>
      <w:numPr>
        <w:numId w:val="29"/>
      </w:numPr>
      <w:spacing w:before="240"/>
      <w:outlineLvl w:val="0"/>
    </w:pPr>
    <w:rPr>
      <w:rFonts w:eastAsiaTheme="majorEastAsia" w:cstheme="majorBidi"/>
      <w:b/>
      <w:color w:val="2F5496" w:themeColor="accent1" w:themeShade="BF"/>
      <w:sz w:val="32"/>
      <w:szCs w:val="32"/>
    </w:rPr>
  </w:style>
  <w:style w:type="paragraph" w:styleId="Heading2">
    <w:name w:val="heading 2"/>
    <w:aliases w:val="Sub,Outline2,Heading 2.2,Zweite Ebene,Section,paragraaf,Paranum,Text,h2,BHI_Überschrift 2,Heading 2 Char2 Char,sous-chapitre"/>
    <w:basedOn w:val="Normal"/>
    <w:next w:val="Normal"/>
    <w:link w:val="Heading2Char"/>
    <w:unhideWhenUsed/>
    <w:qFormat/>
    <w:rsid w:val="00E60897"/>
    <w:pPr>
      <w:keepNext/>
      <w:keepLines/>
      <w:numPr>
        <w:ilvl w:val="1"/>
        <w:numId w:val="29"/>
      </w:numPr>
      <w:spacing w:before="40"/>
      <w:outlineLvl w:val="1"/>
    </w:pPr>
    <w:rPr>
      <w:rFonts w:eastAsiaTheme="majorEastAsia" w:cs="Times New Roman (Überschriften"/>
      <w:color w:val="2F5496" w:themeColor="accent1" w:themeShade="BF"/>
      <w:sz w:val="26"/>
      <w:szCs w:val="26"/>
    </w:rPr>
  </w:style>
  <w:style w:type="paragraph" w:styleId="Heading3">
    <w:name w:val="heading 3"/>
    <w:aliases w:val="Sub Section,subparagraaf,Heading 3 Char Char Char,Centered,normal,h3,sl3,heading 3"/>
    <w:basedOn w:val="Normal"/>
    <w:next w:val="Normal"/>
    <w:link w:val="Heading3Char"/>
    <w:unhideWhenUsed/>
    <w:qFormat/>
    <w:rsid w:val="00A96906"/>
    <w:pPr>
      <w:keepNext/>
      <w:keepLines/>
      <w:numPr>
        <w:ilvl w:val="2"/>
        <w:numId w:val="29"/>
      </w:numPr>
      <w:spacing w:before="40"/>
      <w:outlineLvl w:val="2"/>
    </w:pPr>
    <w:rPr>
      <w:rFonts w:eastAsiaTheme="majorEastAsia" w:cs="Times New Roman (Überschriften"/>
      <w:b/>
      <w:color w:val="2F5496" w:themeColor="accent1" w:themeShade="BF"/>
    </w:rPr>
  </w:style>
  <w:style w:type="paragraph" w:styleId="Heading4">
    <w:name w:val="heading 4"/>
    <w:aliases w:val="Centred,h4,Cen."/>
    <w:basedOn w:val="Normal"/>
    <w:next w:val="Normal"/>
    <w:link w:val="Heading4Char"/>
    <w:unhideWhenUsed/>
    <w:qFormat/>
    <w:rsid w:val="00E60897"/>
    <w:pPr>
      <w:keepNext/>
      <w:keepLines/>
      <w:numPr>
        <w:ilvl w:val="3"/>
        <w:numId w:val="2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 Side,Side,h5"/>
    <w:basedOn w:val="Normal"/>
    <w:next w:val="Normal"/>
    <w:link w:val="Heading5Char"/>
    <w:unhideWhenUsed/>
    <w:qFormat/>
    <w:rsid w:val="00E60897"/>
    <w:pPr>
      <w:keepNext/>
      <w:keepLines/>
      <w:numPr>
        <w:ilvl w:val="4"/>
        <w:numId w:val="2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A40D9"/>
    <w:pPr>
      <w:keepNext/>
      <w:keepLines/>
      <w:spacing w:before="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E60897"/>
    <w:pPr>
      <w:keepNext/>
      <w:keepLines/>
      <w:numPr>
        <w:ilvl w:val="6"/>
        <w:numId w:val="2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0897"/>
    <w:pPr>
      <w:keepNext/>
      <w:keepLines/>
      <w:numPr>
        <w:ilvl w:val="7"/>
        <w:numId w:val="2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0897"/>
    <w:pPr>
      <w:keepNext/>
      <w:keepLines/>
      <w:numPr>
        <w:ilvl w:val="8"/>
        <w:numId w:val="2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61D"/>
    <w:pPr>
      <w:tabs>
        <w:tab w:val="center" w:pos="4536"/>
        <w:tab w:val="right" w:pos="9072"/>
      </w:tabs>
    </w:pPr>
  </w:style>
  <w:style w:type="character" w:customStyle="1" w:styleId="HeaderChar">
    <w:name w:val="Header Char"/>
    <w:basedOn w:val="DefaultParagraphFont"/>
    <w:link w:val="Header"/>
    <w:uiPriority w:val="99"/>
    <w:rsid w:val="0073061D"/>
  </w:style>
  <w:style w:type="paragraph" w:styleId="Footer">
    <w:name w:val="footer"/>
    <w:aliases w:val="eersteregel,EY Footer"/>
    <w:basedOn w:val="Normal"/>
    <w:link w:val="FooterChar"/>
    <w:uiPriority w:val="99"/>
    <w:unhideWhenUsed/>
    <w:rsid w:val="00201A42"/>
    <w:pPr>
      <w:tabs>
        <w:tab w:val="center" w:pos="4536"/>
        <w:tab w:val="right" w:pos="9072"/>
      </w:tabs>
    </w:pPr>
    <w:rPr>
      <w:sz w:val="18"/>
    </w:rPr>
  </w:style>
  <w:style w:type="character" w:customStyle="1" w:styleId="FooterChar">
    <w:name w:val="Footer Char"/>
    <w:aliases w:val="eersteregel Char,EY Footer Char"/>
    <w:basedOn w:val="DefaultParagraphFont"/>
    <w:link w:val="Footer"/>
    <w:uiPriority w:val="99"/>
    <w:rsid w:val="00201A42"/>
    <w:rPr>
      <w:rFonts w:ascii="Arial" w:hAnsi="Arial"/>
      <w:sz w:val="18"/>
    </w:rPr>
  </w:style>
  <w:style w:type="character" w:styleId="PageNumber">
    <w:name w:val="page number"/>
    <w:aliases w:val="EY Page Number"/>
    <w:basedOn w:val="DefaultParagraphFont"/>
    <w:unhideWhenUsed/>
    <w:rsid w:val="00742051"/>
  </w:style>
  <w:style w:type="character" w:customStyle="1" w:styleId="Heading1Char">
    <w:name w:val="Heading 1 Char"/>
    <w:aliases w:val="SZRptH1 Char,h1 Char,FIAS Char,Heading 1 - InfoEnerg Char,Chapitre Char,Main Heading Char,1 Char"/>
    <w:basedOn w:val="DefaultParagraphFont"/>
    <w:link w:val="Heading1"/>
    <w:rsid w:val="00E60897"/>
    <w:rPr>
      <w:rFonts w:ascii="Arial" w:eastAsiaTheme="majorEastAsia" w:hAnsi="Arial" w:cstheme="majorBidi"/>
      <w:b/>
      <w:color w:val="2F5496" w:themeColor="accent1" w:themeShade="BF"/>
      <w:sz w:val="32"/>
      <w:szCs w:val="32"/>
    </w:rPr>
  </w:style>
  <w:style w:type="paragraph" w:styleId="TOCHeading">
    <w:name w:val="TOC Heading"/>
    <w:basedOn w:val="Heading1"/>
    <w:next w:val="Normal"/>
    <w:uiPriority w:val="39"/>
    <w:unhideWhenUsed/>
    <w:qFormat/>
    <w:rsid w:val="00742051"/>
    <w:pPr>
      <w:spacing w:before="480" w:line="276" w:lineRule="auto"/>
      <w:outlineLvl w:val="9"/>
    </w:pPr>
    <w:rPr>
      <w:rFonts w:asciiTheme="majorHAnsi" w:hAnsiTheme="majorHAnsi"/>
      <w:bCs/>
      <w:sz w:val="28"/>
      <w:szCs w:val="28"/>
      <w:lang w:eastAsia="de-DE"/>
    </w:rPr>
  </w:style>
  <w:style w:type="paragraph" w:styleId="TOC1">
    <w:name w:val="toc 1"/>
    <w:basedOn w:val="Normal"/>
    <w:next w:val="Normal"/>
    <w:autoRedefine/>
    <w:uiPriority w:val="39"/>
    <w:unhideWhenUsed/>
    <w:rsid w:val="00D402EA"/>
    <w:pPr>
      <w:tabs>
        <w:tab w:val="left" w:pos="352"/>
        <w:tab w:val="right" w:pos="9054"/>
      </w:tabs>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742051"/>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742051"/>
    <w:rPr>
      <w:rFonts w:asciiTheme="minorHAnsi" w:hAnsiTheme="minorHAnsi" w:cstheme="minorHAnsi"/>
      <w:smallCaps/>
      <w:sz w:val="22"/>
      <w:szCs w:val="22"/>
    </w:rPr>
  </w:style>
  <w:style w:type="paragraph" w:styleId="TOC4">
    <w:name w:val="toc 4"/>
    <w:basedOn w:val="Normal"/>
    <w:next w:val="Normal"/>
    <w:autoRedefine/>
    <w:uiPriority w:val="39"/>
    <w:unhideWhenUsed/>
    <w:rsid w:val="00742051"/>
    <w:rPr>
      <w:rFonts w:asciiTheme="minorHAnsi" w:hAnsiTheme="minorHAnsi" w:cstheme="minorHAnsi"/>
      <w:sz w:val="22"/>
      <w:szCs w:val="22"/>
    </w:rPr>
  </w:style>
  <w:style w:type="paragraph" w:styleId="TOC5">
    <w:name w:val="toc 5"/>
    <w:basedOn w:val="Normal"/>
    <w:next w:val="Normal"/>
    <w:autoRedefine/>
    <w:uiPriority w:val="39"/>
    <w:unhideWhenUsed/>
    <w:rsid w:val="00742051"/>
    <w:rPr>
      <w:rFonts w:asciiTheme="minorHAnsi" w:hAnsiTheme="minorHAnsi" w:cstheme="minorHAnsi"/>
      <w:sz w:val="22"/>
      <w:szCs w:val="22"/>
    </w:rPr>
  </w:style>
  <w:style w:type="paragraph" w:styleId="TOC6">
    <w:name w:val="toc 6"/>
    <w:basedOn w:val="Normal"/>
    <w:next w:val="Normal"/>
    <w:autoRedefine/>
    <w:uiPriority w:val="39"/>
    <w:unhideWhenUsed/>
    <w:rsid w:val="00742051"/>
    <w:rPr>
      <w:rFonts w:asciiTheme="minorHAnsi" w:hAnsiTheme="minorHAnsi" w:cstheme="minorHAnsi"/>
      <w:sz w:val="22"/>
      <w:szCs w:val="22"/>
    </w:rPr>
  </w:style>
  <w:style w:type="paragraph" w:styleId="TOC7">
    <w:name w:val="toc 7"/>
    <w:basedOn w:val="Normal"/>
    <w:next w:val="Normal"/>
    <w:autoRedefine/>
    <w:uiPriority w:val="39"/>
    <w:unhideWhenUsed/>
    <w:rsid w:val="00742051"/>
    <w:rPr>
      <w:rFonts w:asciiTheme="minorHAnsi" w:hAnsiTheme="minorHAnsi" w:cstheme="minorHAnsi"/>
      <w:sz w:val="22"/>
      <w:szCs w:val="22"/>
    </w:rPr>
  </w:style>
  <w:style w:type="paragraph" w:styleId="TOC8">
    <w:name w:val="toc 8"/>
    <w:basedOn w:val="Normal"/>
    <w:next w:val="Normal"/>
    <w:autoRedefine/>
    <w:uiPriority w:val="39"/>
    <w:unhideWhenUsed/>
    <w:rsid w:val="00742051"/>
    <w:rPr>
      <w:rFonts w:asciiTheme="minorHAnsi" w:hAnsiTheme="minorHAnsi" w:cstheme="minorHAnsi"/>
      <w:sz w:val="22"/>
      <w:szCs w:val="22"/>
    </w:rPr>
  </w:style>
  <w:style w:type="paragraph" w:styleId="TOC9">
    <w:name w:val="toc 9"/>
    <w:basedOn w:val="Normal"/>
    <w:next w:val="Normal"/>
    <w:autoRedefine/>
    <w:uiPriority w:val="39"/>
    <w:unhideWhenUsed/>
    <w:rsid w:val="00742051"/>
    <w:rPr>
      <w:rFonts w:asciiTheme="minorHAnsi" w:hAnsiTheme="minorHAnsi" w:cstheme="minorHAnsi"/>
      <w:sz w:val="22"/>
      <w:szCs w:val="22"/>
    </w:rPr>
  </w:style>
  <w:style w:type="character" w:styleId="Hyperlink">
    <w:name w:val="Hyperlink"/>
    <w:basedOn w:val="DefaultParagraphFont"/>
    <w:uiPriority w:val="99"/>
    <w:unhideWhenUsed/>
    <w:rsid w:val="00742051"/>
    <w:rPr>
      <w:color w:val="0563C1" w:themeColor="hyperlink"/>
      <w:u w:val="single"/>
    </w:rPr>
  </w:style>
  <w:style w:type="character" w:customStyle="1" w:styleId="Heading2Char">
    <w:name w:val="Heading 2 Char"/>
    <w:aliases w:val="Sub Char,Outline2 Char,Heading 2.2 Char,Zweite Ebene Char,Section Char,paragraaf Char,Paranum Char,Text Char,h2 Char,BHI_Überschrift 2 Char,Heading 2 Char2 Char Char,sous-chapitre Char"/>
    <w:basedOn w:val="DefaultParagraphFont"/>
    <w:link w:val="Heading2"/>
    <w:rsid w:val="00E60897"/>
    <w:rPr>
      <w:rFonts w:ascii="Arial" w:eastAsiaTheme="majorEastAsia" w:hAnsi="Arial" w:cs="Times New Roman (Überschriften"/>
      <w:color w:val="2F5496" w:themeColor="accent1" w:themeShade="BF"/>
      <w:sz w:val="26"/>
      <w:szCs w:val="26"/>
    </w:rPr>
  </w:style>
  <w:style w:type="character" w:customStyle="1" w:styleId="Heading3Char">
    <w:name w:val="Heading 3 Char"/>
    <w:aliases w:val="Sub Section Char,subparagraaf Char,Heading 3 Char Char Char Char,Centered Char,normal Char,h3 Char,sl3 Char,heading 3 Char"/>
    <w:basedOn w:val="DefaultParagraphFont"/>
    <w:link w:val="Heading3"/>
    <w:rsid w:val="00A96906"/>
    <w:rPr>
      <w:rFonts w:ascii="Arial" w:eastAsiaTheme="majorEastAsia" w:hAnsi="Arial" w:cs="Times New Roman (Überschriften"/>
      <w:b/>
      <w:color w:val="2F5496" w:themeColor="accent1" w:themeShade="BF"/>
      <w:sz w:val="20"/>
    </w:rPr>
  </w:style>
  <w:style w:type="character" w:customStyle="1" w:styleId="Heading4Char">
    <w:name w:val="Heading 4 Char"/>
    <w:aliases w:val="Centred Char,h4 Char,Cen. Char"/>
    <w:basedOn w:val="DefaultParagraphFont"/>
    <w:link w:val="Heading4"/>
    <w:rsid w:val="00E60897"/>
    <w:rPr>
      <w:rFonts w:asciiTheme="majorHAnsi" w:eastAsiaTheme="majorEastAsia" w:hAnsiTheme="majorHAnsi" w:cstheme="majorBidi"/>
      <w:i/>
      <w:iCs/>
      <w:color w:val="2F5496" w:themeColor="accent1" w:themeShade="BF"/>
      <w:sz w:val="20"/>
    </w:rPr>
  </w:style>
  <w:style w:type="character" w:customStyle="1" w:styleId="Heading5Char">
    <w:name w:val="Heading 5 Char"/>
    <w:aliases w:val=" Side Char,Side Char,h5 Char"/>
    <w:basedOn w:val="DefaultParagraphFont"/>
    <w:link w:val="Heading5"/>
    <w:rsid w:val="00E60897"/>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rsid w:val="00FA40D9"/>
    <w:rPr>
      <w:rFonts w:ascii="Arial" w:eastAsiaTheme="majorEastAsia" w:hAnsi="Arial" w:cstheme="majorBidi"/>
      <w:b/>
      <w:sz w:val="20"/>
    </w:rPr>
  </w:style>
  <w:style w:type="character" w:customStyle="1" w:styleId="Heading7Char">
    <w:name w:val="Heading 7 Char"/>
    <w:basedOn w:val="DefaultParagraphFont"/>
    <w:link w:val="Heading7"/>
    <w:uiPriority w:val="9"/>
    <w:semiHidden/>
    <w:rsid w:val="00E60897"/>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E608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0897"/>
    <w:rPr>
      <w:rFonts w:asciiTheme="majorHAnsi" w:eastAsiaTheme="majorEastAsia" w:hAnsiTheme="majorHAnsi" w:cstheme="majorBidi"/>
      <w:i/>
      <w:iCs/>
      <w:color w:val="272727" w:themeColor="text1" w:themeTint="D8"/>
      <w:sz w:val="21"/>
      <w:szCs w:val="21"/>
    </w:rPr>
  </w:style>
  <w:style w:type="table" w:styleId="PlainTable1">
    <w:name w:val="Plain Table 1"/>
    <w:basedOn w:val="TableNormal"/>
    <w:uiPriority w:val="41"/>
    <w:rsid w:val="001F50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1F504C"/>
    <w:rPr>
      <w:rFonts w:ascii="Segoe UI" w:hAnsi="Segoe UI" w:cs="Segoe UI"/>
      <w:szCs w:val="18"/>
    </w:rPr>
  </w:style>
  <w:style w:type="character" w:customStyle="1" w:styleId="BalloonTextChar">
    <w:name w:val="Balloon Text Char"/>
    <w:basedOn w:val="DefaultParagraphFont"/>
    <w:link w:val="BalloonText"/>
    <w:uiPriority w:val="99"/>
    <w:semiHidden/>
    <w:rsid w:val="001F504C"/>
    <w:rPr>
      <w:rFonts w:ascii="Segoe UI" w:hAnsi="Segoe UI" w:cs="Segoe UI"/>
      <w:sz w:val="18"/>
      <w:szCs w:val="18"/>
    </w:rPr>
  </w:style>
  <w:style w:type="paragraph" w:styleId="Caption">
    <w:name w:val="caption"/>
    <w:aliases w:val="Legende,Car16,Car Car Car Car,Car Car Car Car Car Car Car,Car Car Car Car Car,Car Car Car Car Car Car Car Car Car Car Car Car,Car3,FigureCaptionMEPS,Légende figure,Caption-tables,tabfaption Char,Caption1 Char,Caption1"/>
    <w:basedOn w:val="Normal"/>
    <w:next w:val="Normal"/>
    <w:link w:val="CaptionChar"/>
    <w:uiPriority w:val="35"/>
    <w:unhideWhenUsed/>
    <w:qFormat/>
    <w:rsid w:val="009E30E2"/>
    <w:pPr>
      <w:spacing w:after="200"/>
    </w:pPr>
    <w:rPr>
      <w:i/>
      <w:iCs/>
      <w:color w:val="44546A" w:themeColor="text2"/>
      <w:sz w:val="18"/>
      <w:szCs w:val="18"/>
    </w:rPr>
  </w:style>
  <w:style w:type="paragraph" w:styleId="ListParagraph">
    <w:name w:val="List Paragraph"/>
    <w:aliases w:val="List Paragraph1,члан,List (Mannvit),Left Bullet L1,Table/Figure Heading,Paragraph,Bullet EY,Normal bullet 2,Bullet list,List Paragraph Red,Resume Title,Citation List,List L1"/>
    <w:basedOn w:val="Normal"/>
    <w:link w:val="ListParagraphChar"/>
    <w:uiPriority w:val="34"/>
    <w:qFormat/>
    <w:rsid w:val="00C178CB"/>
    <w:pPr>
      <w:ind w:left="720"/>
      <w:contextualSpacing/>
    </w:pPr>
  </w:style>
  <w:style w:type="character" w:customStyle="1" w:styleId="hps">
    <w:name w:val="hps"/>
    <w:rsid w:val="00D8505B"/>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 OP,Char1 Char,ADB,ft"/>
    <w:basedOn w:val="Normal"/>
    <w:link w:val="FootnoteTextChar"/>
    <w:unhideWhenUsed/>
    <w:qFormat/>
    <w:rsid w:val="00F26AF5"/>
    <w:pPr>
      <w:spacing w:line="240" w:lineRule="auto"/>
    </w:pPr>
    <w:rPr>
      <w:sz w:val="18"/>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 OP Char"/>
    <w:basedOn w:val="DefaultParagraphFont"/>
    <w:link w:val="FootnoteText"/>
    <w:qFormat/>
    <w:rsid w:val="00F26AF5"/>
    <w:rPr>
      <w:rFonts w:ascii="Arial" w:hAnsi="Arial"/>
      <w:sz w:val="18"/>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Ref,number,fr,Fußnotenzeichen DI"/>
    <w:basedOn w:val="DefaultParagraphFont"/>
    <w:link w:val="Odwoanieprzypisu"/>
    <w:uiPriority w:val="99"/>
    <w:unhideWhenUsed/>
    <w:qFormat/>
    <w:rsid w:val="0025212D"/>
    <w:rPr>
      <w:vertAlign w:val="superscript"/>
    </w:rPr>
  </w:style>
  <w:style w:type="paragraph" w:styleId="CommentText">
    <w:name w:val="annotation text"/>
    <w:basedOn w:val="Normal"/>
    <w:link w:val="CommentTextChar"/>
    <w:uiPriority w:val="99"/>
    <w:unhideWhenUsed/>
    <w:rsid w:val="00CD4589"/>
    <w:pPr>
      <w:spacing w:line="240" w:lineRule="auto"/>
    </w:pPr>
    <w:rPr>
      <w:szCs w:val="20"/>
    </w:rPr>
  </w:style>
  <w:style w:type="character" w:customStyle="1" w:styleId="CommentTextChar">
    <w:name w:val="Comment Text Char"/>
    <w:basedOn w:val="DefaultParagraphFont"/>
    <w:link w:val="CommentText"/>
    <w:uiPriority w:val="99"/>
    <w:rsid w:val="00CD458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D4589"/>
    <w:pPr>
      <w:suppressAutoHyphens/>
    </w:pPr>
    <w:rPr>
      <w:rFonts w:ascii="Times New Roman" w:eastAsia="Times New Roman" w:hAnsi="Times New Roman" w:cs="Times New Roman"/>
      <w:b/>
      <w:bCs/>
      <w:lang w:val="fr-FR" w:eastAsia="zh-CN"/>
    </w:rPr>
  </w:style>
  <w:style w:type="character" w:customStyle="1" w:styleId="CommentSubjectChar">
    <w:name w:val="Comment Subject Char"/>
    <w:basedOn w:val="CommentTextChar"/>
    <w:link w:val="CommentSubject"/>
    <w:uiPriority w:val="99"/>
    <w:semiHidden/>
    <w:rsid w:val="00CD4589"/>
    <w:rPr>
      <w:rFonts w:ascii="Times New Roman" w:eastAsia="Times New Roman" w:hAnsi="Times New Roman" w:cs="Times New Roman"/>
      <w:b/>
      <w:bCs/>
      <w:sz w:val="20"/>
      <w:szCs w:val="20"/>
      <w:lang w:val="fr-FR" w:eastAsia="zh-CN"/>
    </w:rPr>
  </w:style>
  <w:style w:type="paragraph" w:customStyle="1" w:styleId="Odwoanieprzypisu">
    <w:name w:val="Odwołanie przypisu"/>
    <w:aliases w:val="de nota al pie,footnote ref,2001+ Fußnotenzeichen,BVI fnr Знак Знак,BVI fnr Car Car Знак Знак,BVI fnr Car Знак Знак,R"/>
    <w:basedOn w:val="Normal"/>
    <w:link w:val="FootnoteReference"/>
    <w:rsid w:val="00CD4589"/>
    <w:pPr>
      <w:spacing w:before="120" w:after="160" w:line="240" w:lineRule="exact"/>
    </w:pPr>
    <w:rPr>
      <w:rFonts w:asciiTheme="minorHAnsi" w:hAnsiTheme="minorHAnsi"/>
      <w:sz w:val="24"/>
      <w:vertAlign w:val="superscript"/>
    </w:rPr>
  </w:style>
  <w:style w:type="character" w:styleId="FollowedHyperlink">
    <w:name w:val="FollowedHyperlink"/>
    <w:uiPriority w:val="99"/>
    <w:semiHidden/>
    <w:unhideWhenUsed/>
    <w:rsid w:val="00CD4589"/>
    <w:rPr>
      <w:color w:val="954F72"/>
      <w:u w:val="single"/>
    </w:rPr>
  </w:style>
  <w:style w:type="paragraph" w:styleId="NormalWeb">
    <w:name w:val="Normal (Web)"/>
    <w:basedOn w:val="Normal"/>
    <w:uiPriority w:val="99"/>
    <w:unhideWhenUsed/>
    <w:rsid w:val="00CD4589"/>
    <w:pPr>
      <w:spacing w:before="100" w:beforeAutospacing="1" w:after="100" w:afterAutospacing="1" w:line="240" w:lineRule="auto"/>
    </w:pPr>
    <w:rPr>
      <w:rFonts w:ascii="Times New Roman" w:eastAsia="Times New Roman" w:hAnsi="Times New Roman" w:cs="Times New Roman"/>
      <w:sz w:val="24"/>
      <w:lang w:val="sr-Latn-RS" w:eastAsia="sr-Latn-RS"/>
    </w:rPr>
  </w:style>
  <w:style w:type="paragraph" w:styleId="TableofFigures">
    <w:name w:val="table of figures"/>
    <w:basedOn w:val="Normal"/>
    <w:next w:val="Normal"/>
    <w:uiPriority w:val="99"/>
    <w:unhideWhenUsed/>
    <w:qFormat/>
    <w:rsid w:val="00C242CF"/>
    <w:pPr>
      <w:jc w:val="left"/>
    </w:pPr>
    <w:rPr>
      <w:rFonts w:asciiTheme="minorHAnsi" w:hAnsiTheme="minorHAnsi" w:cstheme="minorHAnsi"/>
      <w:i/>
      <w:iCs/>
      <w:szCs w:val="20"/>
    </w:rPr>
  </w:style>
  <w:style w:type="character" w:styleId="CommentReference">
    <w:name w:val="annotation reference"/>
    <w:basedOn w:val="DefaultParagraphFont"/>
    <w:uiPriority w:val="99"/>
    <w:semiHidden/>
    <w:unhideWhenUsed/>
    <w:rsid w:val="00136D4B"/>
    <w:rPr>
      <w:sz w:val="16"/>
      <w:szCs w:val="16"/>
    </w:rPr>
  </w:style>
  <w:style w:type="paragraph" w:styleId="Revision">
    <w:name w:val="Revision"/>
    <w:hidden/>
    <w:uiPriority w:val="99"/>
    <w:semiHidden/>
    <w:rsid w:val="000D1937"/>
    <w:rPr>
      <w:rFonts w:ascii="Arial" w:hAnsi="Arial"/>
      <w:sz w:val="18"/>
    </w:rPr>
  </w:style>
  <w:style w:type="paragraph" w:styleId="BodyText">
    <w:name w:val="Body Text"/>
    <w:basedOn w:val="Normal"/>
    <w:link w:val="BodyTextChar"/>
    <w:uiPriority w:val="1"/>
    <w:qFormat/>
    <w:rsid w:val="00503AE8"/>
    <w:pPr>
      <w:widowControl w:val="0"/>
      <w:autoSpaceDE w:val="0"/>
      <w:autoSpaceDN w:val="0"/>
      <w:jc w:val="left"/>
    </w:pPr>
    <w:rPr>
      <w:rFonts w:asciiTheme="minorHAnsi" w:eastAsia="Times New Roman" w:hAnsiTheme="minorHAnsi" w:cs="Times New Roman"/>
      <w:szCs w:val="20"/>
      <w:lang w:val="en-US" w:bidi="en-US"/>
    </w:rPr>
  </w:style>
  <w:style w:type="character" w:customStyle="1" w:styleId="BodyTextChar">
    <w:name w:val="Body Text Char"/>
    <w:basedOn w:val="DefaultParagraphFont"/>
    <w:link w:val="BodyText"/>
    <w:uiPriority w:val="1"/>
    <w:rsid w:val="00503AE8"/>
    <w:rPr>
      <w:rFonts w:eastAsia="Times New Roman" w:cs="Times New Roman"/>
      <w:sz w:val="20"/>
      <w:szCs w:val="20"/>
      <w:lang w:val="en-US" w:bidi="en-US"/>
    </w:rPr>
  </w:style>
  <w:style w:type="character" w:customStyle="1" w:styleId="CaptionChar">
    <w:name w:val="Caption Char"/>
    <w:aliases w:val="Legende Char,Car16 Char,Car Car Car Car Char,Car Car Car Car Car Car Car Char,Car Car Car Car Car Char,Car Car Car Car Car Car Car Car Car Car Car Car Char,Car3 Char,FigureCaptionMEPS Char,Légende figure Char,Caption-tables Char"/>
    <w:basedOn w:val="DefaultParagraphFont"/>
    <w:link w:val="Caption"/>
    <w:uiPriority w:val="35"/>
    <w:locked/>
    <w:rsid w:val="009E30E2"/>
    <w:rPr>
      <w:rFonts w:ascii="Arial" w:hAnsi="Arial"/>
      <w:i/>
      <w:iCs/>
      <w:color w:val="44546A" w:themeColor="text2"/>
      <w:sz w:val="18"/>
      <w:szCs w:val="18"/>
    </w:rPr>
  </w:style>
  <w:style w:type="paragraph" w:customStyle="1" w:styleId="TEST-SummaryPAMTable">
    <w:name w:val="TEST-SummaryPAMTable"/>
    <w:basedOn w:val="Normal"/>
    <w:qFormat/>
    <w:rsid w:val="00503AE8"/>
    <w:pPr>
      <w:overflowPunct w:val="0"/>
      <w:autoSpaceDE w:val="0"/>
      <w:autoSpaceDN w:val="0"/>
      <w:adjustRightInd w:val="0"/>
    </w:pPr>
    <w:rPr>
      <w:rFonts w:eastAsia="Times New Roman" w:cstheme="minorHAnsi"/>
      <w:szCs w:val="20"/>
      <w:lang w:val="en-GB" w:eastAsia="de-DE"/>
    </w:rPr>
  </w:style>
  <w:style w:type="character" w:customStyle="1" w:styleId="ListParagraphChar">
    <w:name w:val="List Paragraph Char"/>
    <w:aliases w:val="List Paragraph1 Char,члан Char,List (Mannvit) Char,Left Bullet L1 Char,Table/Figure Heading Char,Paragraph Char,Bullet EY Char,Normal bullet 2 Char,Bullet list Char,List Paragraph Red Char,Resume Title Char,Citation List Char"/>
    <w:link w:val="ListParagraph"/>
    <w:uiPriority w:val="34"/>
    <w:rsid w:val="00503AE8"/>
    <w:rPr>
      <w:rFonts w:ascii="Arial" w:hAnsi="Arial"/>
      <w:sz w:val="18"/>
    </w:rPr>
  </w:style>
  <w:style w:type="paragraph" w:styleId="NoSpacing">
    <w:name w:val="No Spacing"/>
    <w:uiPriority w:val="1"/>
    <w:qFormat/>
    <w:rsid w:val="00503AE8"/>
    <w:pPr>
      <w:widowControl w:val="0"/>
      <w:autoSpaceDE w:val="0"/>
      <w:autoSpaceDN w:val="0"/>
    </w:pPr>
    <w:rPr>
      <w:rFonts w:ascii="Times New Roman" w:eastAsia="Times New Roman" w:hAnsi="Times New Roman" w:cs="Times New Roman"/>
      <w:sz w:val="22"/>
      <w:szCs w:val="22"/>
      <w:lang w:val="en-US" w:bidi="en-US"/>
    </w:rPr>
  </w:style>
  <w:style w:type="character" w:customStyle="1" w:styleId="ListParagraphChar1">
    <w:name w:val="List Paragraph Char1"/>
    <w:aliases w:val="Paragraph Char1,Bullet EY Char1,Normal bullet 2 Char1,Bullet list Char1,List Paragraph Red Char1,Resume Title Char1,Citation List Char1,List L1 Char1,List Paragraph1 Char1"/>
    <w:basedOn w:val="DefaultParagraphFont"/>
    <w:uiPriority w:val="34"/>
    <w:locked/>
    <w:rsid w:val="00503AE8"/>
    <w:rPr>
      <w:rFonts w:ascii="Arial" w:hAnsi="Arial" w:cs="Arial"/>
      <w:lang w:val="en-GB"/>
    </w:rPr>
  </w:style>
  <w:style w:type="paragraph" w:customStyle="1" w:styleId="Lettre-6pts">
    <w:name w:val="Lettre-6pts"/>
    <w:basedOn w:val="BodyText"/>
    <w:rsid w:val="00503AE8"/>
    <w:pPr>
      <w:keepLines/>
      <w:widowControl/>
      <w:numPr>
        <w:numId w:val="20"/>
      </w:numPr>
      <w:tabs>
        <w:tab w:val="clear" w:pos="360"/>
      </w:tabs>
      <w:autoSpaceDE/>
      <w:autoSpaceDN/>
      <w:ind w:left="357" w:hanging="357"/>
    </w:pPr>
    <w:rPr>
      <w:rFonts w:ascii="Arial" w:hAnsi="Arial"/>
      <w:sz w:val="22"/>
      <w:lang w:val="fr-FR" w:eastAsia="fr-FR" w:bidi="ar-SA"/>
    </w:rPr>
  </w:style>
  <w:style w:type="character" w:customStyle="1" w:styleId="CaptionChar1">
    <w:name w:val="Caption Char1"/>
    <w:aliases w:val="Caption-tables Char1,tabfaption Char Char,Caption1 Char Char,Caption1 Char1,Caption Char Char... + 11 pt Char,Not... Char,Caption Char Char,Caption-tables Char Char"/>
    <w:uiPriority w:val="35"/>
    <w:rsid w:val="00503AE8"/>
    <w:rPr>
      <w:rFonts w:ascii="Arial" w:hAnsi="Arial"/>
      <w:b/>
      <w:bCs/>
      <w:sz w:val="22"/>
      <w:lang w:val="en-US"/>
    </w:rPr>
  </w:style>
  <w:style w:type="paragraph" w:styleId="EndnoteText">
    <w:name w:val="endnote text"/>
    <w:basedOn w:val="Normal"/>
    <w:link w:val="EndnoteTextChar"/>
    <w:uiPriority w:val="99"/>
    <w:semiHidden/>
    <w:unhideWhenUsed/>
    <w:rsid w:val="004C5676"/>
    <w:pPr>
      <w:spacing w:after="0" w:line="240" w:lineRule="auto"/>
    </w:pPr>
    <w:rPr>
      <w:szCs w:val="20"/>
    </w:rPr>
  </w:style>
  <w:style w:type="character" w:customStyle="1" w:styleId="EndnoteTextChar">
    <w:name w:val="Endnote Text Char"/>
    <w:basedOn w:val="DefaultParagraphFont"/>
    <w:link w:val="EndnoteText"/>
    <w:uiPriority w:val="99"/>
    <w:semiHidden/>
    <w:rsid w:val="004C5676"/>
    <w:rPr>
      <w:rFonts w:ascii="Arial" w:hAnsi="Arial"/>
      <w:sz w:val="20"/>
      <w:szCs w:val="20"/>
    </w:rPr>
  </w:style>
  <w:style w:type="character" w:styleId="EndnoteReference">
    <w:name w:val="endnote reference"/>
    <w:basedOn w:val="DefaultParagraphFont"/>
    <w:uiPriority w:val="99"/>
    <w:semiHidden/>
    <w:unhideWhenUsed/>
    <w:rsid w:val="004C5676"/>
    <w:rPr>
      <w:vertAlign w:val="superscript"/>
    </w:rPr>
  </w:style>
  <w:style w:type="paragraph" w:customStyle="1" w:styleId="0003nc">
    <w:name w:val="000 3nc"/>
    <w:basedOn w:val="Normal"/>
    <w:link w:val="0003ncChar"/>
    <w:qFormat/>
    <w:rsid w:val="008F391B"/>
    <w:pPr>
      <w:spacing w:line="276" w:lineRule="auto"/>
    </w:pPr>
    <w:rPr>
      <w:rFonts w:ascii="Times New Roman" w:hAnsi="Times New Roman" w:cs="Times New Roman"/>
      <w:sz w:val="24"/>
      <w:lang w:val="sr-Cyrl-RS"/>
    </w:rPr>
  </w:style>
  <w:style w:type="character" w:customStyle="1" w:styleId="0003ncChar">
    <w:name w:val="000 3nc Char"/>
    <w:basedOn w:val="DefaultParagraphFont"/>
    <w:link w:val="0003nc"/>
    <w:rsid w:val="008F391B"/>
    <w:rPr>
      <w:rFonts w:ascii="Times New Roman" w:hAnsi="Times New Roman" w:cs="Times New Roman"/>
      <w:lang w:val="sr-Cyrl-RS"/>
    </w:rPr>
  </w:style>
  <w:style w:type="paragraph" w:customStyle="1" w:styleId="U-TabGro">
    <w:name w:val="U-TabGroß"/>
    <w:basedOn w:val="Normal"/>
    <w:link w:val="U-TabGroZchn"/>
    <w:uiPriority w:val="8"/>
    <w:qFormat/>
    <w:rsid w:val="00034223"/>
    <w:pPr>
      <w:spacing w:before="40" w:after="40" w:line="240" w:lineRule="auto"/>
      <w:jc w:val="left"/>
    </w:pPr>
    <w:rPr>
      <w:rFonts w:asciiTheme="minorHAnsi" w:eastAsia="Calibri" w:hAnsiTheme="minorHAnsi" w:cs="Times New Roman"/>
      <w:color w:val="000000" w:themeColor="text1"/>
      <w:szCs w:val="16"/>
      <w:lang w:val="de-DE"/>
    </w:rPr>
  </w:style>
  <w:style w:type="character" w:customStyle="1" w:styleId="U-TabGroZchn">
    <w:name w:val="U-TabGroß Zchn"/>
    <w:basedOn w:val="DefaultParagraphFont"/>
    <w:link w:val="U-TabGro"/>
    <w:uiPriority w:val="8"/>
    <w:locked/>
    <w:rsid w:val="00034223"/>
    <w:rPr>
      <w:rFonts w:eastAsia="Calibri" w:cs="Times New Roman"/>
      <w:color w:val="000000" w:themeColor="text1"/>
      <w:sz w:val="20"/>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472">
      <w:bodyDiv w:val="1"/>
      <w:marLeft w:val="0"/>
      <w:marRight w:val="0"/>
      <w:marTop w:val="0"/>
      <w:marBottom w:val="0"/>
      <w:divBdr>
        <w:top w:val="none" w:sz="0" w:space="0" w:color="auto"/>
        <w:left w:val="none" w:sz="0" w:space="0" w:color="auto"/>
        <w:bottom w:val="none" w:sz="0" w:space="0" w:color="auto"/>
        <w:right w:val="none" w:sz="0" w:space="0" w:color="auto"/>
      </w:divBdr>
    </w:div>
    <w:div w:id="67731094">
      <w:bodyDiv w:val="1"/>
      <w:marLeft w:val="0"/>
      <w:marRight w:val="0"/>
      <w:marTop w:val="0"/>
      <w:marBottom w:val="0"/>
      <w:divBdr>
        <w:top w:val="none" w:sz="0" w:space="0" w:color="auto"/>
        <w:left w:val="none" w:sz="0" w:space="0" w:color="auto"/>
        <w:bottom w:val="none" w:sz="0" w:space="0" w:color="auto"/>
        <w:right w:val="none" w:sz="0" w:space="0" w:color="auto"/>
      </w:divBdr>
    </w:div>
    <w:div w:id="1194491447">
      <w:bodyDiv w:val="1"/>
      <w:marLeft w:val="0"/>
      <w:marRight w:val="0"/>
      <w:marTop w:val="0"/>
      <w:marBottom w:val="0"/>
      <w:divBdr>
        <w:top w:val="none" w:sz="0" w:space="0" w:color="auto"/>
        <w:left w:val="none" w:sz="0" w:space="0" w:color="auto"/>
        <w:bottom w:val="none" w:sz="0" w:space="0" w:color="auto"/>
        <w:right w:val="none" w:sz="0" w:space="0" w:color="auto"/>
      </w:divBdr>
    </w:div>
    <w:div w:id="1275401929">
      <w:bodyDiv w:val="1"/>
      <w:marLeft w:val="0"/>
      <w:marRight w:val="0"/>
      <w:marTop w:val="0"/>
      <w:marBottom w:val="0"/>
      <w:divBdr>
        <w:top w:val="none" w:sz="0" w:space="0" w:color="auto"/>
        <w:left w:val="none" w:sz="0" w:space="0" w:color="auto"/>
        <w:bottom w:val="none" w:sz="0" w:space="0" w:color="auto"/>
        <w:right w:val="none" w:sz="0" w:space="0" w:color="auto"/>
      </w:divBdr>
    </w:div>
    <w:div w:id="20504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oter" Target="footer3.xml"/><Relationship Id="rId28"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image" Target="media/image10.jpeg"/><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serbiaclimatestrategy.eu/adaptation-planning-framework/" TargetMode="External"/><Relationship Id="rId3" Type="http://schemas.openxmlformats.org/officeDocument/2006/relationships/hyperlink" Target="https://serbia.un.org/sites/default/file" TargetMode="External"/><Relationship Id="rId7" Type="http://schemas.openxmlformats.org/officeDocument/2006/relationships/hyperlink" Target="https://www.ekologija.gov.rs/wp-content/uploads/javne_rasprave/Strategija%20niskougljeni%C4%8Dnog%20%20razvoja%20sa%20akcionim%20planom_za%20javnu%20raspravu.pdf" TargetMode="External"/><Relationship Id="rId2" Type="http://schemas.openxmlformats.org/officeDocument/2006/relationships/hyperlink" Target="https://data.stat.gov.rs/Home/Result/2400020102?languageCode=sr-Latn" TargetMode="External"/><Relationship Id="rId1" Type="http://schemas.openxmlformats.org/officeDocument/2006/relationships/hyperlink" Target="https://www.ipcc-nggip.iges.or.jp/public/2019rf/index.html" TargetMode="External"/><Relationship Id="rId6" Type="http://schemas.openxmlformats.org/officeDocument/2006/relationships/hyperlink" Target="https://www.ekologija.gov.rs/dokumenti/" TargetMode="External"/><Relationship Id="rId5" Type="http://schemas.openxmlformats.org/officeDocument/2006/relationships/hyperlink" Target="http://europa.rs/eu-serbia-talanoa-conference-on-climate-action/?lang=en" TargetMode="External"/><Relationship Id="rId4" Type="http://schemas.openxmlformats.org/officeDocument/2006/relationships/hyperlink" Target="https://ec.europa.eu/neighbourhood-enlargement/countries/detailed-country-information/serbia_en" TargetMode="External"/><Relationship Id="rId9" Type="http://schemas.openxmlformats.org/officeDocument/2006/relationships/hyperlink" Target="https://apps.fas.usda.gov/newgainapi/api/report/downloadreportbyfilename?filename=Grain%20and%20Feed%20%20Annual_Belgrade_Serbia_4-10-201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chauera\Documents\Benutzerdefinierte%20Office-Vorlagen\MRV%20templa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fab212-ced8-45d9-87bd-9e7e63984178" xsi:nil="true"/>
    <lcf76f155ced4ddcb4097134ff3c332f xmlns="d1ac5c08-e3b1-4ed2-8844-abb01dbfcdb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7CC1D7EEB5C549835C6917B38FDA33" ma:contentTypeVersion="14" ma:contentTypeDescription="Create a new document." ma:contentTypeScope="" ma:versionID="6cf8f133b36ecbc7fdb0866f49129741">
  <xsd:schema xmlns:xsd="http://www.w3.org/2001/XMLSchema" xmlns:xs="http://www.w3.org/2001/XMLSchema" xmlns:p="http://schemas.microsoft.com/office/2006/metadata/properties" xmlns:ns2="d1ac5c08-e3b1-4ed2-8844-abb01dbfcdbe" xmlns:ns3="a9fab212-ced8-45d9-87bd-9e7e63984178" targetNamespace="http://schemas.microsoft.com/office/2006/metadata/properties" ma:root="true" ma:fieldsID="59782dd7805c563cee65b1247ecb214d" ns2:_="" ns3:_="">
    <xsd:import namespace="d1ac5c08-e3b1-4ed2-8844-abb01dbfcdbe"/>
    <xsd:import namespace="a9fab212-ced8-45d9-87bd-9e7e639841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c5c08-e3b1-4ed2-8844-abb01dbfc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fab212-ced8-45d9-87bd-9e7e6398417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10c3e62-5844-4a5c-b266-a13970d7a7d0}" ma:internalName="TaxCatchAll" ma:showField="CatchAllData" ma:web="a9fab212-ced8-45d9-87bd-9e7e639841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0D80B-CB13-4E1C-B7B5-B4FD1962DF14}">
  <ds:schemaRefs>
    <ds:schemaRef ds:uri="http://schemas.microsoft.com/office/2006/metadata/properties"/>
    <ds:schemaRef ds:uri="http://schemas.microsoft.com/office/infopath/2007/PartnerControls"/>
    <ds:schemaRef ds:uri="0ca66001-fc9a-4c3c-9061-a293c2d89eaa"/>
    <ds:schemaRef ds:uri="a9fab212-ced8-45d9-87bd-9e7e63984178"/>
    <ds:schemaRef ds:uri="d1ac5c08-e3b1-4ed2-8844-abb01dbfcdbe"/>
  </ds:schemaRefs>
</ds:datastoreItem>
</file>

<file path=customXml/itemProps2.xml><?xml version="1.0" encoding="utf-8"?>
<ds:datastoreItem xmlns:ds="http://schemas.openxmlformats.org/officeDocument/2006/customXml" ds:itemID="{BF94AD19-0184-41EE-B592-E1FB68A7A1AC}">
  <ds:schemaRefs>
    <ds:schemaRef ds:uri="http://schemas.openxmlformats.org/officeDocument/2006/bibliography"/>
  </ds:schemaRefs>
</ds:datastoreItem>
</file>

<file path=customXml/itemProps3.xml><?xml version="1.0" encoding="utf-8"?>
<ds:datastoreItem xmlns:ds="http://schemas.openxmlformats.org/officeDocument/2006/customXml" ds:itemID="{C7B1FBFE-D552-4685-8D85-0A54BBD85C6A}">
  <ds:schemaRefs>
    <ds:schemaRef ds:uri="http://schemas.microsoft.com/sharepoint/v3/contenttype/forms"/>
  </ds:schemaRefs>
</ds:datastoreItem>
</file>

<file path=customXml/itemProps4.xml><?xml version="1.0" encoding="utf-8"?>
<ds:datastoreItem xmlns:ds="http://schemas.openxmlformats.org/officeDocument/2006/customXml" ds:itemID="{BA8DE3D3-8285-4140-BC33-3E622A30E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c5c08-e3b1-4ed2-8844-abb01dbfcdbe"/>
    <ds:schemaRef ds:uri="a9fab212-ced8-45d9-87bd-9e7e63984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MRV template</Template>
  <TotalTime>2</TotalTime>
  <Pages>65</Pages>
  <Words>16893</Words>
  <Characters>96296</Characters>
  <Application>Microsoft Office Word</Application>
  <DocSecurity>0</DocSecurity>
  <Lines>802</Lines>
  <Paragraphs>225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Aschauer Andreas</dc:creator>
  <cp:keywords/>
  <dc:description/>
  <cp:lastModifiedBy>Milan Cerovac</cp:lastModifiedBy>
  <cp:revision>5</cp:revision>
  <cp:lastPrinted>2020-10-05T09:30:00Z</cp:lastPrinted>
  <dcterms:created xsi:type="dcterms:W3CDTF">2022-09-13T09:13:00Z</dcterms:created>
  <dcterms:modified xsi:type="dcterms:W3CDTF">2022-09-13T11:29:00Z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0x010100307CC1D7EEB5C549835C6917B38FDA33</vt:lpwstr>
  </property>
  <property fmtid="{D5CDD505-2E9C-101B-9397-08002B2CF9AE}" pid="3" name="Order">
    <vt:r8>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