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25B199"/>
        <w:tblLook w:val="04A0" w:firstRow="1" w:lastRow="0" w:firstColumn="1" w:lastColumn="0" w:noHBand="0" w:noVBand="1"/>
      </w:tblPr>
      <w:tblGrid>
        <w:gridCol w:w="8828"/>
      </w:tblGrid>
      <w:tr w:rsidR="001F6355" w14:paraId="2453BD8A" w14:textId="77777777" w:rsidTr="001F6355">
        <w:tc>
          <w:tcPr>
            <w:tcW w:w="8828" w:type="dxa"/>
            <w:shd w:val="clear" w:color="auto" w:fill="25B199"/>
            <w:tcMar>
              <w:top w:w="85" w:type="dxa"/>
              <w:left w:w="85" w:type="dxa"/>
              <w:bottom w:w="85" w:type="dxa"/>
              <w:right w:w="85" w:type="dxa"/>
            </w:tcMar>
          </w:tcPr>
          <w:p w14:paraId="2EA252EB" w14:textId="43AFCA03"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REQUEST FOR SUPPORT ON CLIMATE TRANSPARENCY</w:t>
            </w:r>
            <w:r w:rsidRPr="002B6D48">
              <w:rPr>
                <w:rStyle w:val="FootnoteReference"/>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2B6D48"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Content>
              <w:p w14:paraId="7D03FF52" w14:textId="1CCFE304" w:rsidR="002C6159" w:rsidRPr="002B6D48" w:rsidRDefault="00C31674" w:rsidP="00C31674">
                <w:pPr>
                  <w:jc w:val="left"/>
                  <w:rPr>
                    <w:rFonts w:cstheme="minorHAnsi"/>
                    <w:lang w:val="en-GB"/>
                  </w:rPr>
                </w:pPr>
                <w:r>
                  <w:rPr>
                    <w:rFonts w:cstheme="minorHAnsi"/>
                    <w:lang w:val="en-GB"/>
                  </w:rPr>
                  <w:t>Bosnia and Herzegovina</w:t>
                </w:r>
              </w:p>
            </w:sdtContent>
          </w:sdt>
        </w:tc>
      </w:tr>
      <w:tr w:rsidR="002C6159" w:rsidRPr="002B6D48"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Content>
              <w:p w14:paraId="7B519B2A" w14:textId="67958CA4" w:rsidR="002C6159" w:rsidRPr="002B6D48" w:rsidRDefault="00F852E6" w:rsidP="00F852E6">
                <w:pPr>
                  <w:jc w:val="left"/>
                  <w:rPr>
                    <w:rFonts w:cstheme="minorHAnsi"/>
                    <w:lang w:val="en-GB"/>
                  </w:rPr>
                </w:pPr>
                <w:r>
                  <w:rPr>
                    <w:rFonts w:cstheme="minorHAnsi"/>
                    <w:lang w:val="en-GB"/>
                  </w:rPr>
                  <w:t>Ranka Radic, Jovana  Tadic</w:t>
                </w:r>
              </w:p>
            </w:sdtContent>
          </w:sdt>
        </w:tc>
      </w:tr>
      <w:tr w:rsidR="002C6159" w:rsidRPr="002B6D48"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Content>
              <w:p w14:paraId="78456D5A" w14:textId="74C54E63" w:rsidR="002C6159" w:rsidRPr="002B6D48" w:rsidRDefault="00000000" w:rsidP="00F852E6">
                <w:pPr>
                  <w:jc w:val="left"/>
                  <w:rPr>
                    <w:rFonts w:cstheme="minorHAnsi"/>
                    <w:lang w:val="en-GB"/>
                  </w:rPr>
                </w:pPr>
                <w:hyperlink r:id="rId11" w:history="1">
                  <w:r w:rsidR="00F852E6" w:rsidRPr="00E5249D">
                    <w:rPr>
                      <w:rStyle w:val="Hyperlink"/>
                      <w:rFonts w:cstheme="minorHAnsi"/>
                      <w:lang w:val="en-GB"/>
                    </w:rPr>
                    <w:t>r.radic@rhmzrs.com</w:t>
                  </w:r>
                </w:hyperlink>
                <w:r w:rsidR="00F852E6">
                  <w:rPr>
                    <w:rFonts w:cstheme="minorHAnsi"/>
                    <w:lang w:val="en-GB"/>
                  </w:rPr>
                  <w:t xml:space="preserve">   </w:t>
                </w:r>
                <w:hyperlink r:id="rId12" w:history="1">
                  <w:r w:rsidR="006D0D1C" w:rsidRPr="00A41CE6">
                    <w:rPr>
                      <w:rStyle w:val="Hyperlink"/>
                      <w:rFonts w:cstheme="minorHAnsi"/>
                      <w:lang w:val="en-GB"/>
                    </w:rPr>
                    <w:t>j.tadic@gc.vladars.rs</w:t>
                  </w:r>
                </w:hyperlink>
                <w:r w:rsidR="006D0D1C">
                  <w:rPr>
                    <w:rFonts w:cstheme="minorHAnsi"/>
                    <w:lang w:val="en-GB"/>
                  </w:rPr>
                  <w:t xml:space="preserve"> </w:t>
                </w:r>
              </w:p>
            </w:sdtContent>
          </w:sdt>
        </w:tc>
      </w:tr>
      <w:tr w:rsidR="002C6159" w:rsidRPr="002B6D48"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Content>
              <w:p w14:paraId="76112B25" w14:textId="7CA16BE3" w:rsidR="002C6159" w:rsidRPr="002B6D48" w:rsidRDefault="00F852E6" w:rsidP="00F852E6">
                <w:pPr>
                  <w:jc w:val="left"/>
                  <w:rPr>
                    <w:rFonts w:cstheme="minorHAnsi"/>
                    <w:lang w:val="en-GB"/>
                  </w:rPr>
                </w:pPr>
                <w:r>
                  <w:rPr>
                    <w:rFonts w:cstheme="minorHAnsi"/>
                    <w:lang w:val="en-GB"/>
                  </w:rPr>
                  <w:t>Head of Department for Environmental Protecti</w:t>
                </w:r>
                <w:r w:rsidR="006D1F30">
                  <w:rPr>
                    <w:rFonts w:cstheme="minorHAnsi"/>
                    <w:lang w:val="en-GB"/>
                  </w:rPr>
                  <w:t>on</w:t>
                </w:r>
                <w:r w:rsidR="00451DF7">
                  <w:rPr>
                    <w:rFonts w:cstheme="minorHAnsi"/>
                    <w:lang w:val="en-GB"/>
                  </w:rPr>
                  <w:t>, Gender officer</w:t>
                </w:r>
                <w:r>
                  <w:rPr>
                    <w:rFonts w:cstheme="minorHAnsi"/>
                    <w:lang w:val="en-GB"/>
                  </w:rPr>
                  <w:t xml:space="preserve"> </w:t>
                </w:r>
              </w:p>
            </w:sdtContent>
          </w:sdt>
        </w:tc>
      </w:tr>
      <w:tr w:rsidR="002C6159" w:rsidRPr="002B6D48"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Content>
              <w:p w14:paraId="4377CE51" w14:textId="54AC4BF2" w:rsidR="002C6159" w:rsidRPr="002B6D48" w:rsidRDefault="00F852E6" w:rsidP="00F852E6">
                <w:pPr>
                  <w:jc w:val="left"/>
                  <w:rPr>
                    <w:rFonts w:cstheme="minorHAnsi"/>
                    <w:lang w:val="en-GB"/>
                  </w:rPr>
                </w:pPr>
                <w:r>
                  <w:rPr>
                    <w:rFonts w:cstheme="minorHAnsi"/>
                    <w:lang w:val="en-GB"/>
                  </w:rPr>
                  <w:t>Republic Hydrometeorological Institute</w:t>
                </w:r>
                <w:r w:rsidR="00811FC1">
                  <w:rPr>
                    <w:rFonts w:cstheme="minorHAnsi"/>
                    <w:lang w:val="en-GB"/>
                  </w:rPr>
                  <w:t>, Gender Centre</w:t>
                </w:r>
                <w:r w:rsidR="00060DDD">
                  <w:rPr>
                    <w:rFonts w:cstheme="minorHAnsi"/>
                    <w:lang w:val="en-GB"/>
                  </w:rPr>
                  <w:t>r</w:t>
                </w:r>
                <w:r w:rsidR="00811FC1">
                  <w:rPr>
                    <w:rFonts w:cstheme="minorHAnsi"/>
                    <w:lang w:val="en-GB"/>
                  </w:rPr>
                  <w:t xml:space="preserve"> of Republi</w:t>
                </w:r>
                <w:r w:rsidR="00060DDD">
                  <w:rPr>
                    <w:rFonts w:cstheme="minorHAnsi"/>
                    <w:lang w:val="en-GB"/>
                  </w:rPr>
                  <w:t>ka</w:t>
                </w:r>
                <w:r w:rsidR="00811FC1">
                  <w:rPr>
                    <w:rFonts w:cstheme="minorHAnsi"/>
                    <w:lang w:val="en-GB"/>
                  </w:rPr>
                  <w:t xml:space="preserve"> Srpska</w:t>
                </w:r>
                <w:r w:rsidR="00060DDD">
                  <w:rPr>
                    <w:rFonts w:cstheme="minorHAnsi"/>
                    <w:lang w:val="en-GB"/>
                  </w:rPr>
                  <w:t xml:space="preserve"> </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2B6D48"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p w14:paraId="44586901" w14:textId="0A97D398" w:rsidR="00D1079B" w:rsidRPr="002B6D48" w:rsidRDefault="00D1079B" w:rsidP="00183E98">
            <w:pPr>
              <w:jc w:val="left"/>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dtPr>
            <w:sdtContent>
              <w:p w14:paraId="10B5BDE4" w14:textId="5C6F700D" w:rsidR="00B37614" w:rsidRPr="002B6D48" w:rsidRDefault="008A05DB" w:rsidP="00C31674">
                <w:pPr>
                  <w:jc w:val="left"/>
                  <w:rPr>
                    <w:rFonts w:cstheme="minorHAnsi"/>
                    <w:lang w:val="en-GB"/>
                  </w:rPr>
                </w:pPr>
                <w:r>
                  <w:rPr>
                    <w:rFonts w:cstheme="minorHAnsi"/>
                    <w:lang w:val="en-GB"/>
                  </w:rPr>
                  <w:t>Enhance gender m</w:t>
                </w:r>
                <w:r w:rsidR="006D0D1C">
                  <w:rPr>
                    <w:rFonts w:cstheme="minorHAnsi"/>
                    <w:lang w:val="en-GB"/>
                  </w:rPr>
                  <w:t>ainstream</w:t>
                </w:r>
                <w:r>
                  <w:rPr>
                    <w:rFonts w:cstheme="minorHAnsi"/>
                    <w:lang w:val="en-GB"/>
                  </w:rPr>
                  <w:t xml:space="preserve">ing </w:t>
                </w:r>
                <w:r w:rsidR="00C31674">
                  <w:rPr>
                    <w:rFonts w:cstheme="minorHAnsi"/>
                    <w:lang w:val="en-GB"/>
                  </w:rPr>
                  <w:t>into climate transparency</w:t>
                </w:r>
                <w:r>
                  <w:rPr>
                    <w:rFonts w:cstheme="minorHAnsi"/>
                    <w:lang w:val="en-GB"/>
                  </w:rPr>
                  <w:t xml:space="preserve"> reporting of Bosnia and Herzegovina</w:t>
                </w:r>
                <w:r w:rsidR="00C31674">
                  <w:rPr>
                    <w:rFonts w:cstheme="minorHAnsi"/>
                    <w:lang w:val="en-GB"/>
                  </w:rPr>
                  <w:t xml:space="preserve"> </w:t>
                </w:r>
              </w:p>
            </w:sdtContent>
          </w:sdt>
        </w:tc>
      </w:tr>
      <w:tr w:rsidR="00A328D2" w:rsidRPr="002B6D48"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Content>
              <w:p w14:paraId="26FE83BF" w14:textId="0DABB898" w:rsidR="00A328D2" w:rsidRPr="002B6D48" w:rsidRDefault="00A151A7" w:rsidP="00A151A7">
                <w:pPr>
                  <w:rPr>
                    <w:rFonts w:cstheme="minorHAnsi"/>
                    <w:i/>
                    <w:iCs/>
                    <w:lang w:val="en-GB"/>
                  </w:rPr>
                </w:pPr>
                <w:r w:rsidRPr="00A151A7">
                  <w:rPr>
                    <w:rFonts w:cstheme="minorHAnsi"/>
                    <w:lang w:val="en-GB"/>
                  </w:rPr>
                  <w:t>The primary objective is to enhance institutional capacity regarding gender issues in climate transparency within Bosnia and Herzegovina. This will be achieved through the provision of comprehensive training specifically addressing the gender component within</w:t>
                </w:r>
                <w:r w:rsidR="00C96186">
                  <w:rPr>
                    <w:rFonts w:cstheme="minorHAnsi"/>
                    <w:lang w:val="en-GB"/>
                  </w:rPr>
                  <w:t xml:space="preserve"> climate transparency framework</w:t>
                </w:r>
                <w:r w:rsidRPr="00A151A7">
                  <w:rPr>
                    <w:rFonts w:cstheme="minorHAnsi"/>
                    <w:lang w:val="en-GB"/>
                  </w:rPr>
                  <w:t>. The training program aims to elucidate the precise integration of gender considerations throughout the entire transparency system, with a particular emphasis on reporting mechanisms. Additionally, it seeks to define the roles and responsibilities of gender focal points.</w:t>
                </w:r>
                <w:r>
                  <w:rPr>
                    <w:rFonts w:cstheme="minorHAnsi"/>
                    <w:lang w:val="en-GB"/>
                  </w:rPr>
                  <w:t xml:space="preserve"> </w:t>
                </w:r>
                <w:r w:rsidRPr="00A151A7">
                  <w:rPr>
                    <w:rFonts w:cstheme="minorHAnsi"/>
                    <w:lang w:val="en-GB"/>
                  </w:rPr>
                  <w:t>The overarching goal is to ensure that Bosnia and Herze</w:t>
                </w:r>
                <w:r w:rsidR="00C96186">
                  <w:rPr>
                    <w:rFonts w:cstheme="minorHAnsi"/>
                    <w:lang w:val="en-GB"/>
                  </w:rPr>
                  <w:t>govina aligns with the</w:t>
                </w:r>
                <w:r w:rsidRPr="00A151A7">
                  <w:rPr>
                    <w:rFonts w:cstheme="minorHAnsi"/>
                    <w:lang w:val="en-GB"/>
                  </w:rPr>
                  <w:t xml:space="preserve"> requirements of the United Nations Framework Convention on Climate Change (UNFCCC) and the Paris Agreement. </w:t>
                </w:r>
              </w:p>
            </w:sdtContent>
          </w:sdt>
        </w:tc>
      </w:tr>
      <w:tr w:rsidR="00A328D2" w:rsidRPr="002B6D48"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dtPr>
            <w:sdtContent>
              <w:p w14:paraId="0073B1CD" w14:textId="096A4C25" w:rsidR="00A328D2" w:rsidRPr="002B6D48" w:rsidRDefault="00B52857" w:rsidP="00B839B5">
                <w:pPr>
                  <w:jc w:val="left"/>
                  <w:rPr>
                    <w:rFonts w:cstheme="minorHAnsi"/>
                    <w:i/>
                    <w:iCs/>
                    <w:lang w:val="en-GB"/>
                  </w:rPr>
                </w:pPr>
                <w:r>
                  <w:rPr>
                    <w:rFonts w:cstheme="minorHAnsi"/>
                    <w:lang w:val="en-GB"/>
                  </w:rPr>
                  <w:t>March</w:t>
                </w:r>
                <w:r w:rsidR="00B839B5">
                  <w:rPr>
                    <w:rFonts w:cstheme="minorHAnsi"/>
                    <w:lang w:val="en-GB"/>
                  </w:rPr>
                  <w:t xml:space="preserve"> 202</w:t>
                </w:r>
                <w:r>
                  <w:rPr>
                    <w:rFonts w:cstheme="minorHAnsi"/>
                    <w:lang w:val="en-GB"/>
                  </w:rPr>
                  <w:t>4</w:t>
                </w:r>
                <w:r w:rsidR="00B839B5">
                  <w:rPr>
                    <w:rFonts w:cstheme="minorHAnsi"/>
                    <w:lang w:val="en-GB"/>
                  </w:rPr>
                  <w:t xml:space="preserve"> – </w:t>
                </w:r>
                <w:r>
                  <w:rPr>
                    <w:rFonts w:cstheme="minorHAnsi"/>
                    <w:lang w:val="en-GB"/>
                  </w:rPr>
                  <w:t>May</w:t>
                </w:r>
                <w:r w:rsidR="00B839B5">
                  <w:rPr>
                    <w:rFonts w:cstheme="minorHAnsi"/>
                    <w:lang w:val="en-GB"/>
                  </w:rPr>
                  <w:t xml:space="preserve"> 2024 </w:t>
                </w:r>
              </w:p>
            </w:sdtContent>
          </w:sdt>
        </w:tc>
      </w:tr>
      <w:tr w:rsidR="00A328D2" w:rsidRPr="002B6D48"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Content>
              <w:p w14:paraId="6FBD7853" w14:textId="7867849B" w:rsidR="00A328D2" w:rsidRPr="002B6D48" w:rsidRDefault="006D1F30" w:rsidP="006D1F30">
                <w:pPr>
                  <w:jc w:val="left"/>
                  <w:rPr>
                    <w:rFonts w:cstheme="minorHAnsi"/>
                    <w:i/>
                    <w:iCs/>
                    <w:lang w:val="en-GB"/>
                  </w:rPr>
                </w:pPr>
                <w:r>
                  <w:rPr>
                    <w:rFonts w:cstheme="minorHAnsi"/>
                    <w:lang w:val="en-GB"/>
                  </w:rPr>
                  <w:t>Gender Centres in Bosnia and Herzegovina, Ministries for Environmental Protection</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2B6D48" w14:paraId="3DBA5E48" w14:textId="77777777" w:rsidTr="002B6D48">
              <w:trPr>
                <w:trHeight w:val="283"/>
              </w:trPr>
              <w:tc>
                <w:tcPr>
                  <w:tcW w:w="5000" w:type="pct"/>
                  <w:gridSpan w:val="3"/>
                  <w:tcMar>
                    <w:top w:w="28" w:type="dxa"/>
                    <w:left w:w="57" w:type="dxa"/>
                    <w:bottom w:w="28" w:type="dxa"/>
                    <w:right w:w="57" w:type="dxa"/>
                  </w:tcMar>
                </w:tcPr>
                <w:p w14:paraId="71BB690F"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77777777"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000000"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36B3DDA" w:rsidR="00A328D2" w:rsidRPr="002B6D48" w:rsidRDefault="00000000" w:rsidP="002B6D48">
                  <w:pPr>
                    <w:jc w:val="left"/>
                    <w:rPr>
                      <w:rFonts w:eastAsia="MS Gothic" w:cstheme="minorHAnsi"/>
                      <w:bCs/>
                      <w:sz w:val="20"/>
                      <w:szCs w:val="20"/>
                      <w:lang w:val="en-GB"/>
                    </w:rPr>
                  </w:pPr>
                  <w:sdt>
                    <w:sdtPr>
                      <w:rPr>
                        <w:rFonts w:cstheme="minorHAnsi"/>
                        <w:bCs/>
                        <w:sz w:val="20"/>
                        <w:szCs w:val="20"/>
                        <w:lang w:val="en-GB"/>
                      </w:rPr>
                      <w:id w:val="197197068"/>
                      <w14:checkbox>
                        <w14:checked w14:val="1"/>
                        <w14:checkedState w14:val="2612" w14:font="MS Gothic"/>
                        <w14:uncheckedState w14:val="2610" w14:font="MS Gothic"/>
                      </w14:checkbox>
                    </w:sdtPr>
                    <w:sdtContent>
                      <w:r w:rsidR="00B839B5">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399F5704" w:rsidR="00A328D2" w:rsidRPr="002B6D48" w:rsidRDefault="00000000" w:rsidP="00B839B5">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dtPr>
                    <w:sdtContent>
                      <w:r w:rsidR="00B839B5">
                        <w:rPr>
                          <w:rFonts w:cstheme="minorHAnsi"/>
                          <w:sz w:val="20"/>
                          <w:szCs w:val="20"/>
                          <w:lang w:val="en-GB"/>
                        </w:rPr>
                        <w:t xml:space="preserve">Gender </w:t>
                      </w:r>
                      <w:r w:rsidR="00B52857">
                        <w:rPr>
                          <w:rFonts w:cstheme="minorHAnsi"/>
                          <w:sz w:val="20"/>
                          <w:szCs w:val="20"/>
                          <w:lang w:val="en-GB"/>
                        </w:rPr>
                        <w:t xml:space="preserve">mainstreaming </w:t>
                      </w:r>
                    </w:sdtContent>
                  </w:sdt>
                </w:p>
              </w:tc>
            </w:tr>
          </w:tbl>
          <w:p w14:paraId="306B73C6" w14:textId="77777777" w:rsidR="00A328D2" w:rsidRPr="002B6D48" w:rsidRDefault="00A328D2" w:rsidP="00183E98">
            <w:pPr>
              <w:jc w:val="left"/>
              <w:rPr>
                <w:rFonts w:cstheme="minorHAnsi"/>
                <w:i/>
                <w:iCs/>
                <w:lang w:val="en-GB"/>
              </w:rPr>
            </w:pPr>
          </w:p>
        </w:tc>
      </w:tr>
      <w:tr w:rsidR="00A328D2" w:rsidRPr="002B6D48"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lastRenderedPageBreak/>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24360E5A"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917527340"/>
                      <w14:checkbox>
                        <w14:checked w14:val="1"/>
                        <w14:checkedState w14:val="2612" w14:font="MS Gothic"/>
                        <w14:uncheckedState w14:val="2610" w14:font="MS Gothic"/>
                      </w14:checkbox>
                    </w:sdtPr>
                    <w:sdtContent>
                      <w:r w:rsidR="006D0D1C">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2E48AB90"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Content>
                      <w:r w:rsidR="006D0D1C">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2B6D48"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73649E1B"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1"/>
                        <w14:checkedState w14:val="2612" w14:font="MS Gothic"/>
                        <w14:uncheckedState w14:val="2610" w14:font="MS Gothic"/>
                      </w14:checkbox>
                    </w:sdtPr>
                    <w:sdtContent>
                      <w:r w:rsidR="00B839B5">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B73AA98"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F1FBEE0"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2B6D48"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000000"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Content>
                    <w:p w14:paraId="69E690B2" w14:textId="0574CCAB" w:rsidR="00A328D2" w:rsidRPr="002B6D48" w:rsidRDefault="00A328D2" w:rsidP="002B6D48">
                      <w:pPr>
                        <w:jc w:val="left"/>
                        <w:rPr>
                          <w:rFonts w:cstheme="minorHAnsi"/>
                          <w:sz w:val="20"/>
                          <w:szCs w:val="20"/>
                          <w:lang w:val="en-GB"/>
                        </w:rPr>
                      </w:pPr>
                      <w:r w:rsidRPr="002B6D48">
                        <w:rPr>
                          <w:rStyle w:val="PlaceholderText"/>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2B6D48"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p w14:paraId="7070EF9E" w14:textId="5504E94A" w:rsidR="00A328D2" w:rsidRPr="002B6D48" w:rsidRDefault="00000000" w:rsidP="00A1116F">
            <w:pPr>
              <w:jc w:val="left"/>
              <w:rPr>
                <w:rFonts w:cstheme="minorHAnsi"/>
                <w:lang w:val="en-GB"/>
              </w:rPr>
            </w:pPr>
            <w:sdt>
              <w:sdtPr>
                <w:rPr>
                  <w:rFonts w:cstheme="minorHAnsi"/>
                  <w:lang w:val="en-GB"/>
                </w:rPr>
                <w:id w:val="-548062695"/>
                <w:placeholder>
                  <w:docPart w:val="7E185654C794445B901507EBBEF7352A"/>
                </w:placeholder>
              </w:sdtPr>
              <w:sdtContent>
                <w:r w:rsidR="00A1116F">
                  <w:rPr>
                    <w:rFonts w:cstheme="minorHAnsi"/>
                    <w:lang w:val="en-GB"/>
                  </w:rPr>
                  <w:t xml:space="preserve">Better understanding of </w:t>
                </w:r>
                <w:r w:rsidR="00B52857">
                  <w:rPr>
                    <w:rFonts w:cstheme="minorHAnsi"/>
                    <w:lang w:val="en-GB"/>
                  </w:rPr>
                  <w:t xml:space="preserve">importance </w:t>
                </w:r>
                <w:r w:rsidR="006D0D1C">
                  <w:rPr>
                    <w:rFonts w:cstheme="minorHAnsi"/>
                    <w:lang w:val="en-GB"/>
                  </w:rPr>
                  <w:t xml:space="preserve">of </w:t>
                </w:r>
                <w:r w:rsidR="00A1116F">
                  <w:rPr>
                    <w:rFonts w:cstheme="minorHAnsi"/>
                    <w:lang w:val="en-GB"/>
                  </w:rPr>
                  <w:t xml:space="preserve">gender issues in climate transparency and </w:t>
                </w:r>
                <w:r w:rsidR="00B52857">
                  <w:rPr>
                    <w:rFonts w:cstheme="minorHAnsi"/>
                    <w:lang w:val="en-GB"/>
                  </w:rPr>
                  <w:t>enhancing of</w:t>
                </w:r>
                <w:r w:rsidR="00A1116F">
                  <w:rPr>
                    <w:rFonts w:cstheme="minorHAnsi"/>
                    <w:lang w:val="en-GB"/>
                  </w:rPr>
                  <w:t xml:space="preserve"> gender</w:t>
                </w:r>
                <w:r w:rsidR="00B52857">
                  <w:rPr>
                    <w:rFonts w:cstheme="minorHAnsi"/>
                    <w:lang w:val="en-GB"/>
                  </w:rPr>
                  <w:t xml:space="preserve"> mainstream in climate transparency </w:t>
                </w:r>
                <w:r w:rsidR="00A1116F">
                  <w:rPr>
                    <w:rFonts w:cstheme="minorHAnsi"/>
                    <w:lang w:val="en-GB"/>
                  </w:rPr>
                  <w:t>reporting</w:t>
                </w:r>
                <w:r w:rsidR="00B52857">
                  <w:rPr>
                    <w:rFonts w:cstheme="minorHAnsi"/>
                    <w:lang w:val="en-GB"/>
                  </w:rPr>
                  <w:t xml:space="preserve"> to UNFCCC</w:t>
                </w:r>
                <w:r w:rsidR="00A1116F">
                  <w:rPr>
                    <w:rFonts w:cstheme="minorHAnsi"/>
                    <w:lang w:val="en-GB"/>
                  </w:rPr>
                  <w:t xml:space="preserve">. </w:t>
                </w:r>
              </w:sdtContent>
            </w:sdt>
          </w:p>
        </w:tc>
      </w:tr>
      <w:tr w:rsidR="00985B07" w:rsidRPr="002B6D48"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83E98">
            <w:pPr>
              <w:jc w:val="left"/>
              <w:rPr>
                <w:rFonts w:cstheme="minorHAnsi"/>
                <w:i/>
                <w:iCs/>
                <w:sz w:val="20"/>
                <w:szCs w:val="20"/>
                <w:lang w:val="en-GB"/>
              </w:rPr>
            </w:pPr>
            <w:r w:rsidRPr="002B6D48">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RedINGEI, GSP).</w:t>
            </w:r>
          </w:p>
          <w:sdt>
            <w:sdtPr>
              <w:rPr>
                <w:rFonts w:cstheme="minorHAnsi"/>
                <w:lang w:val="en-GB"/>
              </w:rPr>
              <w:id w:val="1882137783"/>
              <w:placeholder>
                <w:docPart w:val="69E216B9A54D4D009A177182EEF49333"/>
              </w:placeholder>
            </w:sdtPr>
            <w:sdtContent>
              <w:p w14:paraId="344E196D" w14:textId="35869AE3" w:rsidR="00985B07" w:rsidRPr="002B6D48" w:rsidRDefault="00A151A7" w:rsidP="004853BF">
                <w:pPr>
                  <w:jc w:val="left"/>
                  <w:rPr>
                    <w:rFonts w:cstheme="minorHAnsi"/>
                    <w:i/>
                    <w:iCs/>
                    <w:sz w:val="20"/>
                    <w:szCs w:val="20"/>
                    <w:lang w:val="en-GB"/>
                  </w:rPr>
                </w:pPr>
                <w:r w:rsidRPr="00A151A7">
                  <w:rPr>
                    <w:rFonts w:cstheme="minorHAnsi"/>
                    <w:lang w:val="en-GB"/>
                  </w:rPr>
                  <w:t xml:space="preserve">Current initiatives </w:t>
                </w:r>
                <w:r w:rsidR="006D0D1C">
                  <w:rPr>
                    <w:rFonts w:cstheme="minorHAnsi"/>
                    <w:lang w:val="en-GB"/>
                  </w:rPr>
                  <w:t xml:space="preserve">in Bosnia and Herzegovina </w:t>
                </w:r>
                <w:r w:rsidRPr="00A151A7">
                  <w:rPr>
                    <w:rFonts w:cstheme="minorHAnsi"/>
                    <w:lang w:val="en-GB"/>
                  </w:rPr>
                  <w:t>often treat gender considerations as peripheral, resulting in a limited understanding of gender dynamics in the context of climate change.</w:t>
                </w:r>
                <w:r w:rsidR="00585D47">
                  <w:rPr>
                    <w:rFonts w:cstheme="minorHAnsi"/>
                    <w:lang w:val="en-GB"/>
                  </w:rPr>
                  <w:t xml:space="preserve"> </w:t>
                </w:r>
                <w:r w:rsidR="00585D47" w:rsidRPr="00585D47">
                  <w:rPr>
                    <w:rFonts w:cstheme="minorHAnsi"/>
                    <w:lang w:val="en-GB"/>
                  </w:rPr>
                  <w:t xml:space="preserve">Considering gender issues in climate transparency is vital for ensuring inclusivity, equity, and resilience. </w:t>
                </w:r>
                <w:r w:rsidR="004853BF" w:rsidRPr="004853BF">
                  <w:rPr>
                    <w:rFonts w:cstheme="minorHAnsi"/>
                    <w:lang w:val="en-GB"/>
                  </w:rPr>
                  <w:t>Incorporating gender perspectives elevates the transparency of climate reporting by acknowledging and addressing the distinctive impacts of climate change on various genders, thereby enhancing the overall quality of climate reporting.</w:t>
                </w:r>
              </w:p>
            </w:sdtContent>
          </w:sdt>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2B6D48" w14:paraId="525EE2E3" w14:textId="77777777" w:rsidTr="00183E98">
        <w:trPr>
          <w:trHeight w:val="20"/>
        </w:trPr>
        <w:tc>
          <w:tcPr>
            <w:tcW w:w="5000" w:type="pct"/>
            <w:tcMar>
              <w:top w:w="57" w:type="dxa"/>
              <w:left w:w="57" w:type="dxa"/>
              <w:bottom w:w="57" w:type="dxa"/>
              <w:right w:w="57" w:type="dxa"/>
            </w:tcMar>
          </w:tcPr>
          <w:p w14:paraId="2F3988FF" w14:textId="48035068" w:rsidR="006E2D93" w:rsidRPr="002B6D48" w:rsidRDefault="00D86E23" w:rsidP="00183E98">
            <w:pPr>
              <w:jc w:val="left"/>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rFonts w:cstheme="minorHAnsi"/>
                <w:lang w:val="en-GB"/>
              </w:rPr>
              <w:id w:val="857092391"/>
              <w:placeholder>
                <w:docPart w:val="200EC49B8A9B442B9D9D895F66E3D134"/>
              </w:placeholder>
            </w:sdtPr>
            <w:sdtContent>
              <w:p w14:paraId="033766D9" w14:textId="20C157CB" w:rsidR="008C3F32" w:rsidRPr="002B6D48" w:rsidRDefault="008C3F32" w:rsidP="00183E98">
                <w:pPr>
                  <w:jc w:val="left"/>
                  <w:rPr>
                    <w:rFonts w:cstheme="minorHAnsi"/>
                    <w:lang w:val="en-GB"/>
                  </w:rPr>
                </w:pPr>
                <w:r w:rsidRPr="002B6D48">
                  <w:rPr>
                    <w:rFonts w:cstheme="minorHAnsi"/>
                    <w:b/>
                    <w:bCs/>
                    <w:lang w:val="en-GB"/>
                  </w:rPr>
                  <w:t>Activity 1 (</w:t>
                </w:r>
                <w:r w:rsidR="00B52857">
                  <w:rPr>
                    <w:rFonts w:cstheme="minorHAnsi"/>
                    <w:b/>
                    <w:bCs/>
                    <w:lang w:val="en-GB"/>
                  </w:rPr>
                  <w:t>March 2024</w:t>
                </w:r>
                <w:r w:rsidRPr="002B6D48">
                  <w:rPr>
                    <w:rFonts w:cstheme="minorHAnsi"/>
                    <w:b/>
                    <w:bCs/>
                    <w:lang w:val="en-GB"/>
                  </w:rPr>
                  <w:t>)</w:t>
                </w:r>
                <w:r w:rsidRPr="002B6D48">
                  <w:rPr>
                    <w:rFonts w:cstheme="minorHAnsi"/>
                    <w:lang w:val="en-GB"/>
                  </w:rPr>
                  <w:t>.</w:t>
                </w:r>
                <w:r w:rsidRPr="002B6D48">
                  <w:rPr>
                    <w:rFonts w:cstheme="minorHAnsi"/>
                    <w:b/>
                    <w:bCs/>
                    <w:lang w:val="en-GB"/>
                  </w:rPr>
                  <w:t xml:space="preserve"> </w:t>
                </w:r>
                <w:r w:rsidR="00A00220">
                  <w:rPr>
                    <w:rFonts w:cstheme="minorHAnsi"/>
                    <w:b/>
                    <w:bCs/>
                    <w:lang w:val="en-GB"/>
                  </w:rPr>
                  <w:t>Introduction webinar: Gender mainstreaming in transparency reporting and recent activities in BiH</w:t>
                </w:r>
              </w:p>
              <w:p w14:paraId="54BC3918" w14:textId="3097307D" w:rsidR="008C3F32" w:rsidRPr="002B6D48" w:rsidRDefault="008C3F32" w:rsidP="00183E98">
                <w:pPr>
                  <w:jc w:val="left"/>
                  <w:rPr>
                    <w:rFonts w:cstheme="minorHAnsi"/>
                    <w:lang w:val="en-GB"/>
                  </w:rPr>
                </w:pPr>
                <w:r w:rsidRPr="002B6D48">
                  <w:rPr>
                    <w:rFonts w:cstheme="minorHAnsi"/>
                    <w:b/>
                    <w:bCs/>
                    <w:lang w:val="en-GB"/>
                  </w:rPr>
                  <w:t>Activity 2 (</w:t>
                </w:r>
                <w:r w:rsidR="00667169">
                  <w:rPr>
                    <w:rFonts w:cstheme="minorHAnsi"/>
                    <w:b/>
                    <w:bCs/>
                    <w:lang w:val="en-GB"/>
                  </w:rPr>
                  <w:t>April</w:t>
                </w:r>
                <w:r w:rsidRPr="002B6D48">
                  <w:rPr>
                    <w:rFonts w:cstheme="minorHAnsi"/>
                    <w:b/>
                    <w:bCs/>
                    <w:lang w:val="en-GB"/>
                  </w:rPr>
                  <w:t>)</w:t>
                </w:r>
                <w:r w:rsidRPr="002B6D48">
                  <w:rPr>
                    <w:rFonts w:cstheme="minorHAnsi"/>
                    <w:lang w:val="en-GB"/>
                  </w:rPr>
                  <w:t xml:space="preserve">. </w:t>
                </w:r>
                <w:r w:rsidR="00A00220">
                  <w:rPr>
                    <w:rFonts w:cstheme="minorHAnsi"/>
                    <w:lang w:val="en-GB"/>
                  </w:rPr>
                  <w:t>Peer to peer learning webinar: sharing mutual experience in gender mainstreaming: Montenegro</w:t>
                </w:r>
              </w:p>
              <w:p w14:paraId="478897EF" w14:textId="345460FB" w:rsidR="008C3F32" w:rsidRPr="002B6D48" w:rsidRDefault="008C3F32" w:rsidP="00183E98">
                <w:pPr>
                  <w:jc w:val="left"/>
                  <w:rPr>
                    <w:rFonts w:cstheme="minorHAnsi"/>
                    <w:lang w:val="en-GB"/>
                  </w:rPr>
                </w:pPr>
                <w:r w:rsidRPr="002B6D48">
                  <w:rPr>
                    <w:rFonts w:cstheme="minorHAnsi"/>
                    <w:b/>
                    <w:bCs/>
                    <w:lang w:val="en-GB"/>
                  </w:rPr>
                  <w:t xml:space="preserve">Activity </w:t>
                </w:r>
                <w:r w:rsidR="008701A4">
                  <w:rPr>
                    <w:rFonts w:cstheme="minorHAnsi"/>
                    <w:b/>
                    <w:bCs/>
                    <w:lang w:val="en-GB"/>
                  </w:rPr>
                  <w:t>3</w:t>
                </w:r>
                <w:r w:rsidRPr="002B6D48">
                  <w:rPr>
                    <w:rFonts w:cstheme="minorHAnsi"/>
                    <w:b/>
                    <w:bCs/>
                    <w:lang w:val="en-GB"/>
                  </w:rPr>
                  <w:t xml:space="preserve"> (</w:t>
                </w:r>
                <w:r w:rsidR="00A00220">
                  <w:rPr>
                    <w:rFonts w:cstheme="minorHAnsi"/>
                    <w:b/>
                    <w:bCs/>
                    <w:lang w:val="en-GB"/>
                  </w:rPr>
                  <w:t>April</w:t>
                </w:r>
                <w:r w:rsidRPr="002B6D48">
                  <w:rPr>
                    <w:rFonts w:cstheme="minorHAnsi"/>
                    <w:b/>
                    <w:bCs/>
                    <w:lang w:val="en-GB"/>
                  </w:rPr>
                  <w:t>)</w:t>
                </w:r>
                <w:r w:rsidRPr="002B6D48">
                  <w:rPr>
                    <w:rFonts w:cstheme="minorHAnsi"/>
                    <w:lang w:val="en-GB"/>
                  </w:rPr>
                  <w:t xml:space="preserve">. </w:t>
                </w:r>
                <w:r w:rsidR="00A00220">
                  <w:rPr>
                    <w:rFonts w:cstheme="minorHAnsi"/>
                    <w:lang w:val="en-GB"/>
                  </w:rPr>
                  <w:t>Follow-up meeting and proposal of actions</w:t>
                </w:r>
              </w:p>
              <w:p w14:paraId="5313221D" w14:textId="40309ADD" w:rsidR="00A16C56" w:rsidRPr="002B6D48" w:rsidRDefault="00000000" w:rsidP="00183E98">
                <w:pPr>
                  <w:jc w:val="left"/>
                  <w:rPr>
                    <w:rFonts w:cstheme="minorHAnsi"/>
                    <w:lang w:val="en-GB"/>
                  </w:rPr>
                </w:pPr>
              </w:p>
            </w:sdtContent>
          </w:sdt>
          <w:p w14:paraId="3D10F044" w14:textId="300D69D8"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9B3A42">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619"/>
              <w:gridCol w:w="1365"/>
              <w:gridCol w:w="1365"/>
              <w:gridCol w:w="1365"/>
            </w:tblGrid>
            <w:tr w:rsidR="00054D56" w:rsidRPr="002B6D48"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2B6D48"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2B6D48"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showingPlcHdr/>
                  <w:text/>
                </w:sdt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2B6D48"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2B6D48" w14:paraId="5B8A2605" w14:textId="77777777" w:rsidTr="00183E98">
              <w:trPr>
                <w:trHeight w:val="20"/>
                <w:jc w:val="center"/>
              </w:trPr>
              <w:sdt>
                <w:sdtPr>
                  <w:rPr>
                    <w:rFonts w:cstheme="minorHAnsi"/>
                    <w:sz w:val="20"/>
                    <w:szCs w:val="20"/>
                    <w:lang w:val="en-GB"/>
                  </w:rPr>
                  <w:id w:val="-1526243308"/>
                  <w:showingPlcHdr/>
                  <w:text/>
                </w:sdt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showingPlcHdr/>
                  <w:text/>
                </w:sdt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showingPlcHdr/>
                  <w:text/>
                </w:sdt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showingPlcHdr/>
                  <w:text/>
                </w:sdt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56D08C95" w14:textId="77777777" w:rsidTr="00183E98">
              <w:trPr>
                <w:trHeight w:val="20"/>
                <w:jc w:val="center"/>
              </w:trPr>
              <w:sdt>
                <w:sdtPr>
                  <w:rPr>
                    <w:rFonts w:cstheme="minorHAnsi"/>
                    <w:sz w:val="20"/>
                    <w:szCs w:val="20"/>
                    <w:lang w:val="en-GB"/>
                  </w:rPr>
                  <w:id w:val="-509135319"/>
                  <w:showingPlcHdr/>
                  <w:text/>
                </w:sdt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showingPlcHdr/>
                  <w:text/>
                </w:sdt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showingPlcHdr/>
                  <w:text/>
                </w:sdt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showingPlcHdr/>
                  <w:text/>
                </w:sdt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75DDB0C0" w14:textId="77777777" w:rsidTr="00183E98">
              <w:trPr>
                <w:trHeight w:val="20"/>
                <w:jc w:val="center"/>
              </w:trPr>
              <w:sdt>
                <w:sdtPr>
                  <w:rPr>
                    <w:rFonts w:cstheme="minorHAnsi"/>
                    <w:sz w:val="20"/>
                    <w:szCs w:val="20"/>
                    <w:lang w:val="en-GB"/>
                  </w:rPr>
                  <w:id w:val="1196812944"/>
                  <w:showingPlcHdr/>
                  <w:text/>
                </w:sdt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showingPlcHdr/>
                  <w:text/>
                </w:sdt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showingPlcHdr/>
                  <w:text/>
                </w:sdt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showingPlcHdr/>
                  <w:text/>
                </w:sdt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5BD5DABD" w14:textId="77777777" w:rsidTr="00183E98">
              <w:trPr>
                <w:trHeight w:val="20"/>
                <w:jc w:val="center"/>
              </w:trPr>
              <w:sdt>
                <w:sdtPr>
                  <w:rPr>
                    <w:rFonts w:cstheme="minorHAnsi"/>
                    <w:sz w:val="20"/>
                    <w:szCs w:val="20"/>
                    <w:lang w:val="en-GB"/>
                  </w:rPr>
                  <w:id w:val="296647862"/>
                  <w:showingPlcHdr/>
                  <w:text/>
                </w:sdt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showingPlcHdr/>
                  <w:text/>
                </w:sdt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showingPlcHdr/>
                  <w:text/>
                </w:sdt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showingPlcHdr/>
                  <w:text/>
                </w:sdt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2B6D48"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showingPlcHdr/>
                  <w:text/>
                </w:sdt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2B6D48"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showingPlcHdr/>
                  <w:text/>
                </w:sdt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765280">
      <w:headerReference w:type="default" r:id="rId13"/>
      <w:footerReference w:type="default" r:id="rId14"/>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A2B6" w14:textId="77777777" w:rsidR="00765280" w:rsidRDefault="00765280" w:rsidP="006E2D93">
      <w:r>
        <w:separator/>
      </w:r>
    </w:p>
  </w:endnote>
  <w:endnote w:type="continuationSeparator" w:id="0">
    <w:p w14:paraId="741FCF52" w14:textId="77777777" w:rsidR="00765280" w:rsidRDefault="00765280"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3389"/>
      <w:docPartObj>
        <w:docPartGallery w:val="Page Numbers (Bottom of Page)"/>
        <w:docPartUnique/>
      </w:docPartObj>
    </w:sdtPr>
    <w:sdtEndPr>
      <w:rPr>
        <w:noProof/>
      </w:rPr>
    </w:sdtEndPr>
    <w:sdtContent>
      <w:p w14:paraId="5DDE2996" w14:textId="14DF9BAD" w:rsidR="001619D1" w:rsidRDefault="001619D1">
        <w:pPr>
          <w:pStyle w:val="Footer"/>
          <w:jc w:val="right"/>
        </w:pPr>
        <w:r>
          <w:fldChar w:fldCharType="begin"/>
        </w:r>
        <w:r>
          <w:instrText xml:space="preserve"> PAGE   \* MERGEFORMAT </w:instrText>
        </w:r>
        <w:r>
          <w:fldChar w:fldCharType="separate"/>
        </w:r>
        <w:r w:rsidR="00451DF7">
          <w:rPr>
            <w:noProof/>
          </w:rPr>
          <w:t>1</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E766" w14:textId="77777777" w:rsidR="00765280" w:rsidRDefault="00765280" w:rsidP="006E2D93">
      <w:r>
        <w:separator/>
      </w:r>
    </w:p>
  </w:footnote>
  <w:footnote w:type="continuationSeparator" w:id="0">
    <w:p w14:paraId="7FD9CA37" w14:textId="77777777" w:rsidR="00765280" w:rsidRDefault="00765280"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2660"/>
      <w:gridCol w:w="1654"/>
      <w:gridCol w:w="1653"/>
    </w:tblGrid>
    <w:tr w:rsidR="00B74EBB" w:rsidRPr="004B7E8D" w14:paraId="4F178CD1" w14:textId="77777777" w:rsidTr="004250A9">
      <w:trPr>
        <w:trHeight w:val="1134"/>
      </w:trPr>
      <w:tc>
        <w:tcPr>
          <w:tcW w:w="1624" w:type="pct"/>
          <w:tcMar>
            <w:left w:w="28" w:type="dxa"/>
            <w:right w:w="28" w:type="dxa"/>
          </w:tcMar>
          <w:vAlign w:val="center"/>
        </w:tcPr>
        <w:p w14:paraId="4FB3955E" w14:textId="77777777" w:rsidR="00B74EBB" w:rsidRPr="004B7E8D" w:rsidRDefault="00B74EBB" w:rsidP="00B74EBB">
          <w:pPr>
            <w:tabs>
              <w:tab w:val="center" w:pos="4680"/>
              <w:tab w:val="right" w:pos="9360"/>
            </w:tabs>
            <w:rPr>
              <w:rFonts w:ascii="Calibri" w:eastAsia="Times New Roman" w:hAnsi="Calibri" w:cs="Times New Roman"/>
              <w:lang w:val="en-US"/>
            </w:rPr>
          </w:pPr>
          <w:r w:rsidRPr="004B7E8D">
            <w:rPr>
              <w:rFonts w:ascii="Calibri" w:eastAsia="Times New Roman" w:hAnsi="Calibri" w:cs="Times New Roman"/>
              <w:noProof/>
              <w:lang w:val="en-US"/>
            </w:rPr>
            <w:drawing>
              <wp:inline distT="0" distB="0" distL="0" distR="0" wp14:anchorId="55821926" wp14:editId="7B0B9DDE">
                <wp:extent cx="1636559" cy="432000"/>
                <wp:effectExtent l="0" t="0" r="0" b="0"/>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559" cy="432000"/>
                        </a:xfrm>
                        <a:prstGeom prst="rect">
                          <a:avLst/>
                        </a:prstGeom>
                      </pic:spPr>
                    </pic:pic>
                  </a:graphicData>
                </a:graphic>
              </wp:inline>
            </w:drawing>
          </w:r>
        </w:p>
      </w:tc>
      <w:tc>
        <w:tcPr>
          <w:tcW w:w="1505" w:type="pct"/>
          <w:tcMar>
            <w:left w:w="28" w:type="dxa"/>
            <w:right w:w="28" w:type="dxa"/>
          </w:tcMar>
          <w:vAlign w:val="center"/>
        </w:tcPr>
        <w:p w14:paraId="3776187B" w14:textId="77777777" w:rsidR="00B74EBB" w:rsidRPr="004B7E8D" w:rsidRDefault="00B74EBB" w:rsidP="00B74EBB">
          <w:pPr>
            <w:tabs>
              <w:tab w:val="center" w:pos="4680"/>
              <w:tab w:val="right" w:pos="9360"/>
            </w:tabs>
            <w:jc w:val="center"/>
            <w:rPr>
              <w:rFonts w:ascii="Calibri" w:eastAsia="Times New Roman" w:hAnsi="Calibri" w:cs="Times New Roman"/>
              <w:noProof/>
              <w:lang w:val="de-DE"/>
            </w:rPr>
          </w:pPr>
          <w:r w:rsidRPr="004B7E8D">
            <w:rPr>
              <w:rFonts w:ascii="Calibri" w:eastAsia="Times New Roman" w:hAnsi="Calibri" w:cs="Times New Roman"/>
              <w:noProof/>
              <w:lang w:val="en-US"/>
            </w:rPr>
            <w:drawing>
              <wp:inline distT="0" distB="0" distL="0" distR="0" wp14:anchorId="07B45067" wp14:editId="2B7D318C">
                <wp:extent cx="1256827" cy="432000"/>
                <wp:effectExtent l="0" t="0" r="0" b="0"/>
                <wp:docPr id="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6827" cy="432000"/>
                        </a:xfrm>
                        <a:prstGeom prst="rect">
                          <a:avLst/>
                        </a:prstGeom>
                        <a:noFill/>
                        <a:ln>
                          <a:noFill/>
                        </a:ln>
                      </pic:spPr>
                    </pic:pic>
                  </a:graphicData>
                </a:graphic>
              </wp:inline>
            </w:drawing>
          </w:r>
        </w:p>
      </w:tc>
      <w:tc>
        <w:tcPr>
          <w:tcW w:w="936" w:type="pct"/>
          <w:tcMar>
            <w:left w:w="28" w:type="dxa"/>
            <w:right w:w="28" w:type="dxa"/>
          </w:tcMar>
          <w:vAlign w:val="center"/>
        </w:tcPr>
        <w:p w14:paraId="4895FEA6" w14:textId="77777777" w:rsidR="00B74EBB" w:rsidRPr="004B7E8D" w:rsidRDefault="00B74EBB" w:rsidP="00B74EBB">
          <w:pPr>
            <w:tabs>
              <w:tab w:val="center" w:pos="4680"/>
              <w:tab w:val="right" w:pos="9360"/>
            </w:tabs>
            <w:jc w:val="center"/>
            <w:rPr>
              <w:rFonts w:ascii="Calibri" w:eastAsia="Times New Roman" w:hAnsi="Calibri" w:cs="Times New Roman"/>
              <w:lang w:val="en-US"/>
            </w:rPr>
          </w:pPr>
          <w:r>
            <w:t xml:space="preserve"> </w:t>
          </w:r>
          <w:r>
            <w:rPr>
              <w:noProof/>
              <w:lang w:val="en-US"/>
            </w:rPr>
            <w:drawing>
              <wp:inline distT="0" distB="0" distL="0" distR="0" wp14:anchorId="7CE28F30" wp14:editId="1A9C21A5">
                <wp:extent cx="378189" cy="504000"/>
                <wp:effectExtent l="0" t="0" r="3175" b="0"/>
                <wp:docPr id="154980572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05725" name="Imagen 1"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189" cy="504000"/>
                        </a:xfrm>
                        <a:prstGeom prst="rect">
                          <a:avLst/>
                        </a:prstGeom>
                        <a:noFill/>
                        <a:ln>
                          <a:noFill/>
                        </a:ln>
                      </pic:spPr>
                    </pic:pic>
                  </a:graphicData>
                </a:graphic>
              </wp:inline>
            </w:drawing>
          </w:r>
        </w:p>
      </w:tc>
      <w:tc>
        <w:tcPr>
          <w:tcW w:w="936" w:type="pct"/>
          <w:tcMar>
            <w:left w:w="28" w:type="dxa"/>
            <w:right w:w="28" w:type="dxa"/>
          </w:tcMar>
          <w:vAlign w:val="center"/>
        </w:tcPr>
        <w:p w14:paraId="3D570996" w14:textId="77777777" w:rsidR="00B74EBB" w:rsidRPr="004B7E8D" w:rsidRDefault="00B74EBB" w:rsidP="00B74EBB">
          <w:pPr>
            <w:tabs>
              <w:tab w:val="center" w:pos="4680"/>
              <w:tab w:val="right" w:pos="9360"/>
            </w:tabs>
            <w:jc w:val="right"/>
            <w:rPr>
              <w:rFonts w:ascii="Calibri" w:eastAsia="Times New Roman" w:hAnsi="Calibri" w:cs="Times New Roman"/>
              <w:lang w:val="en-US"/>
            </w:rPr>
          </w:pPr>
          <w:r w:rsidRPr="004B7E8D">
            <w:rPr>
              <w:rFonts w:ascii="Calibri" w:eastAsia="Times New Roman" w:hAnsi="Calibri" w:cs="Times New Roman"/>
              <w:noProof/>
              <w:lang w:val="en-US"/>
            </w:rPr>
            <w:drawing>
              <wp:inline distT="0" distB="0" distL="0" distR="0" wp14:anchorId="72C37E7F" wp14:editId="50D8B9E2">
                <wp:extent cx="637048" cy="432000"/>
                <wp:effectExtent l="0" t="0" r="0" b="635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6307" b="4149"/>
                        <a:stretch/>
                      </pic:blipFill>
                      <pic:spPr bwMode="auto">
                        <a:xfrm>
                          <a:off x="0" y="0"/>
                          <a:ext cx="637048" cy="432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7906179">
    <w:abstractNumId w:val="0"/>
  </w:num>
  <w:num w:numId="2" w16cid:durableId="146114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6Z82q/BzZYheWCzsGRdcAy35Iju4EehzOxoH6YmiBu3KAcb+mOB0blpU3oaSGakRWNLJjsIPwzUjvXJLPmaIA==" w:salt="CTX75bGaE+zxtcgdNrTkCQ=="/>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322B"/>
    <w:rsid w:val="00054D56"/>
    <w:rsid w:val="00060DDD"/>
    <w:rsid w:val="00084F4E"/>
    <w:rsid w:val="000919C4"/>
    <w:rsid w:val="00093B21"/>
    <w:rsid w:val="00094632"/>
    <w:rsid w:val="00095E6A"/>
    <w:rsid w:val="000B0B03"/>
    <w:rsid w:val="000E0D01"/>
    <w:rsid w:val="000F2902"/>
    <w:rsid w:val="000F5B2B"/>
    <w:rsid w:val="00102011"/>
    <w:rsid w:val="0011260D"/>
    <w:rsid w:val="00122248"/>
    <w:rsid w:val="001312E6"/>
    <w:rsid w:val="00132D7B"/>
    <w:rsid w:val="00136A62"/>
    <w:rsid w:val="00142700"/>
    <w:rsid w:val="00143C3C"/>
    <w:rsid w:val="00147321"/>
    <w:rsid w:val="00147D0C"/>
    <w:rsid w:val="001619D1"/>
    <w:rsid w:val="001658B5"/>
    <w:rsid w:val="00183E98"/>
    <w:rsid w:val="001B351B"/>
    <w:rsid w:val="001F6355"/>
    <w:rsid w:val="002030D1"/>
    <w:rsid w:val="00216B64"/>
    <w:rsid w:val="00230DA6"/>
    <w:rsid w:val="002338DF"/>
    <w:rsid w:val="00251DB6"/>
    <w:rsid w:val="002778EA"/>
    <w:rsid w:val="002A3504"/>
    <w:rsid w:val="002B15A8"/>
    <w:rsid w:val="002B3000"/>
    <w:rsid w:val="002B6D48"/>
    <w:rsid w:val="002C6159"/>
    <w:rsid w:val="002F0FFD"/>
    <w:rsid w:val="002F6691"/>
    <w:rsid w:val="00316182"/>
    <w:rsid w:val="00321D48"/>
    <w:rsid w:val="00375AE9"/>
    <w:rsid w:val="00387FA2"/>
    <w:rsid w:val="003B0CA4"/>
    <w:rsid w:val="003B7B13"/>
    <w:rsid w:val="003E00A7"/>
    <w:rsid w:val="003E6D3D"/>
    <w:rsid w:val="003F2F76"/>
    <w:rsid w:val="003F5E0F"/>
    <w:rsid w:val="0040616C"/>
    <w:rsid w:val="00412828"/>
    <w:rsid w:val="00451DF7"/>
    <w:rsid w:val="0046675A"/>
    <w:rsid w:val="00474DEF"/>
    <w:rsid w:val="00481359"/>
    <w:rsid w:val="004853BF"/>
    <w:rsid w:val="004B361B"/>
    <w:rsid w:val="004F13AC"/>
    <w:rsid w:val="00507328"/>
    <w:rsid w:val="00527B36"/>
    <w:rsid w:val="005625EC"/>
    <w:rsid w:val="00585D47"/>
    <w:rsid w:val="005906FB"/>
    <w:rsid w:val="00593A25"/>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67169"/>
    <w:rsid w:val="006750CA"/>
    <w:rsid w:val="0067669C"/>
    <w:rsid w:val="006D0D1C"/>
    <w:rsid w:val="006D1F30"/>
    <w:rsid w:val="006E2D93"/>
    <w:rsid w:val="006E39BC"/>
    <w:rsid w:val="006E5F76"/>
    <w:rsid w:val="00706C87"/>
    <w:rsid w:val="007070BA"/>
    <w:rsid w:val="007133FF"/>
    <w:rsid w:val="007137DD"/>
    <w:rsid w:val="007225C0"/>
    <w:rsid w:val="00754D4B"/>
    <w:rsid w:val="0076209A"/>
    <w:rsid w:val="00765280"/>
    <w:rsid w:val="00770836"/>
    <w:rsid w:val="00772828"/>
    <w:rsid w:val="00775550"/>
    <w:rsid w:val="007871E7"/>
    <w:rsid w:val="007A36A3"/>
    <w:rsid w:val="007E23A7"/>
    <w:rsid w:val="007E76C5"/>
    <w:rsid w:val="007F18B4"/>
    <w:rsid w:val="007F7E72"/>
    <w:rsid w:val="008013C4"/>
    <w:rsid w:val="008038AC"/>
    <w:rsid w:val="00811FC1"/>
    <w:rsid w:val="008364E8"/>
    <w:rsid w:val="008420EC"/>
    <w:rsid w:val="00846A2C"/>
    <w:rsid w:val="00851E67"/>
    <w:rsid w:val="008619B8"/>
    <w:rsid w:val="00862326"/>
    <w:rsid w:val="00866D52"/>
    <w:rsid w:val="008701A4"/>
    <w:rsid w:val="00873C8F"/>
    <w:rsid w:val="00884CA9"/>
    <w:rsid w:val="008A05DB"/>
    <w:rsid w:val="008A4771"/>
    <w:rsid w:val="008C3F32"/>
    <w:rsid w:val="008E6864"/>
    <w:rsid w:val="00905053"/>
    <w:rsid w:val="00927740"/>
    <w:rsid w:val="00936020"/>
    <w:rsid w:val="009430CA"/>
    <w:rsid w:val="00985B07"/>
    <w:rsid w:val="009A546D"/>
    <w:rsid w:val="009B3A42"/>
    <w:rsid w:val="009B72AE"/>
    <w:rsid w:val="009C1D39"/>
    <w:rsid w:val="00A00220"/>
    <w:rsid w:val="00A1116F"/>
    <w:rsid w:val="00A151A7"/>
    <w:rsid w:val="00A16C56"/>
    <w:rsid w:val="00A328D2"/>
    <w:rsid w:val="00A379C2"/>
    <w:rsid w:val="00A57571"/>
    <w:rsid w:val="00A7461F"/>
    <w:rsid w:val="00A74BA9"/>
    <w:rsid w:val="00A85B6E"/>
    <w:rsid w:val="00A930B8"/>
    <w:rsid w:val="00AA7126"/>
    <w:rsid w:val="00AC36AE"/>
    <w:rsid w:val="00AC6041"/>
    <w:rsid w:val="00AF1890"/>
    <w:rsid w:val="00B01EAA"/>
    <w:rsid w:val="00B177AD"/>
    <w:rsid w:val="00B37614"/>
    <w:rsid w:val="00B41C7C"/>
    <w:rsid w:val="00B4204F"/>
    <w:rsid w:val="00B52857"/>
    <w:rsid w:val="00B55428"/>
    <w:rsid w:val="00B65667"/>
    <w:rsid w:val="00B67190"/>
    <w:rsid w:val="00B671D3"/>
    <w:rsid w:val="00B67B4D"/>
    <w:rsid w:val="00B74EBB"/>
    <w:rsid w:val="00B839B5"/>
    <w:rsid w:val="00B90744"/>
    <w:rsid w:val="00B91CC9"/>
    <w:rsid w:val="00BB3FEA"/>
    <w:rsid w:val="00BC1113"/>
    <w:rsid w:val="00BD09D5"/>
    <w:rsid w:val="00BD0D75"/>
    <w:rsid w:val="00C017B4"/>
    <w:rsid w:val="00C31674"/>
    <w:rsid w:val="00C41843"/>
    <w:rsid w:val="00C44E20"/>
    <w:rsid w:val="00C528B7"/>
    <w:rsid w:val="00C749D7"/>
    <w:rsid w:val="00C96186"/>
    <w:rsid w:val="00CA3E31"/>
    <w:rsid w:val="00CB437D"/>
    <w:rsid w:val="00CC01AC"/>
    <w:rsid w:val="00CC2143"/>
    <w:rsid w:val="00CC3589"/>
    <w:rsid w:val="00CD4229"/>
    <w:rsid w:val="00CE4EAB"/>
    <w:rsid w:val="00D00451"/>
    <w:rsid w:val="00D1079B"/>
    <w:rsid w:val="00D4009D"/>
    <w:rsid w:val="00D57521"/>
    <w:rsid w:val="00D7166E"/>
    <w:rsid w:val="00D80529"/>
    <w:rsid w:val="00D86E23"/>
    <w:rsid w:val="00DF231A"/>
    <w:rsid w:val="00E565CB"/>
    <w:rsid w:val="00E6182E"/>
    <w:rsid w:val="00E62E55"/>
    <w:rsid w:val="00E6544E"/>
    <w:rsid w:val="00E95BAD"/>
    <w:rsid w:val="00EB3416"/>
    <w:rsid w:val="00EC77A2"/>
    <w:rsid w:val="00EE5536"/>
    <w:rsid w:val="00EF1279"/>
    <w:rsid w:val="00F00815"/>
    <w:rsid w:val="00F15E51"/>
    <w:rsid w:val="00F43432"/>
    <w:rsid w:val="00F67821"/>
    <w:rsid w:val="00F852E6"/>
    <w:rsid w:val="00FA7B5A"/>
    <w:rsid w:val="00FD48FE"/>
    <w:rsid w:val="00FD7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docId w15:val="{81C06BBD-655E-49DC-B94A-443F25BD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customStyle="1" w:styleId="TableGridLight1">
    <w:name w:val="Table Grid Light1"/>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customStyle="1" w:styleId="UnresolvedMention1">
    <w:name w:val="Unresolved Mention1"/>
    <w:basedOn w:val="DefaultParagraphFont"/>
    <w:uiPriority w:val="99"/>
    <w:semiHidden/>
    <w:unhideWhenUsed/>
    <w:rsid w:val="00B90744"/>
    <w:rPr>
      <w:color w:val="605E5C"/>
      <w:shd w:val="clear" w:color="auto" w:fill="E1DFDD"/>
    </w:rPr>
  </w:style>
  <w:style w:type="paragraph" w:styleId="BalloonText">
    <w:name w:val="Balloon Text"/>
    <w:basedOn w:val="Normal"/>
    <w:link w:val="BalloonTextChar"/>
    <w:uiPriority w:val="99"/>
    <w:semiHidden/>
    <w:unhideWhenUsed/>
    <w:rsid w:val="009B3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A42"/>
    <w:rPr>
      <w:rFonts w:ascii="Segoe UI" w:hAnsi="Segoe UI" w:cs="Segoe UI"/>
      <w:sz w:val="18"/>
      <w:szCs w:val="18"/>
    </w:rPr>
  </w:style>
  <w:style w:type="character" w:styleId="UnresolvedMention">
    <w:name w:val="Unresolved Mention"/>
    <w:basedOn w:val="DefaultParagraphFont"/>
    <w:uiPriority w:val="99"/>
    <w:semiHidden/>
    <w:unhideWhenUsed/>
    <w:rsid w:val="006D0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tadic@gc.vladars.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radic@rhmzr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996"/>
    <w:rsid w:val="000B6642"/>
    <w:rsid w:val="000F430A"/>
    <w:rsid w:val="00195FED"/>
    <w:rsid w:val="002E5EDC"/>
    <w:rsid w:val="003475D3"/>
    <w:rsid w:val="00374AE4"/>
    <w:rsid w:val="00396AD0"/>
    <w:rsid w:val="003A2BF1"/>
    <w:rsid w:val="003E7C80"/>
    <w:rsid w:val="005251D3"/>
    <w:rsid w:val="0057388C"/>
    <w:rsid w:val="005964EF"/>
    <w:rsid w:val="005A503B"/>
    <w:rsid w:val="005C7101"/>
    <w:rsid w:val="00614920"/>
    <w:rsid w:val="00626B36"/>
    <w:rsid w:val="006559E6"/>
    <w:rsid w:val="0068047C"/>
    <w:rsid w:val="006B16C5"/>
    <w:rsid w:val="006D4CDD"/>
    <w:rsid w:val="00785D35"/>
    <w:rsid w:val="007B2385"/>
    <w:rsid w:val="00821F14"/>
    <w:rsid w:val="008261D8"/>
    <w:rsid w:val="0085254C"/>
    <w:rsid w:val="008762FE"/>
    <w:rsid w:val="00981D4A"/>
    <w:rsid w:val="009920B5"/>
    <w:rsid w:val="009C73A3"/>
    <w:rsid w:val="00A33537"/>
    <w:rsid w:val="00AC4A2E"/>
    <w:rsid w:val="00AD527D"/>
    <w:rsid w:val="00B62348"/>
    <w:rsid w:val="00B63B44"/>
    <w:rsid w:val="00BA6808"/>
    <w:rsid w:val="00C41C7C"/>
    <w:rsid w:val="00C5248F"/>
    <w:rsid w:val="00CF51FC"/>
    <w:rsid w:val="00D60C30"/>
    <w:rsid w:val="00DC7C2F"/>
    <w:rsid w:val="00DD39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3.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AACBA-007C-45D6-BEE0-5E7CA68A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778</Words>
  <Characters>4437</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CORNEJO</dc:creator>
  <cp:lastModifiedBy>Sladjana Bundalo</cp:lastModifiedBy>
  <cp:revision>5</cp:revision>
  <cp:lastPrinted>2023-12-01T08:21:00Z</cp:lastPrinted>
  <dcterms:created xsi:type="dcterms:W3CDTF">2024-02-15T08:42:00Z</dcterms:created>
  <dcterms:modified xsi:type="dcterms:W3CDTF">2024-02-16T13:28:00Z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